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FC6" w:rsidRPr="00310843" w:rsidRDefault="002A3FC6" w:rsidP="002A3FC6">
      <w:pPr>
        <w:spacing w:after="0" w:line="360" w:lineRule="auto"/>
        <w:jc w:val="both"/>
        <w:rPr>
          <w:rFonts w:ascii="Palatino Linotype" w:hAnsi="Palatino Linotype" w:cs="Arial"/>
          <w:b/>
          <w:sz w:val="24"/>
          <w:szCs w:val="24"/>
        </w:rPr>
      </w:pPr>
      <w:r w:rsidRPr="00310843">
        <w:rPr>
          <w:rFonts w:ascii="Palatino Linotype" w:hAnsi="Palatino Linotype" w:cs="Arial"/>
          <w:b/>
          <w:sz w:val="24"/>
          <w:szCs w:val="24"/>
        </w:rPr>
        <w:t>VOTO PARTICULAR DEL COMISIONADO JOSÉ GUADALUPE LUNA HERNÁNDEZ EN EL RECURSO DE REVISIÓN 0</w:t>
      </w:r>
      <w:r>
        <w:rPr>
          <w:rFonts w:ascii="Palatino Linotype" w:hAnsi="Palatino Linotype" w:cs="Arial"/>
          <w:b/>
          <w:sz w:val="24"/>
          <w:szCs w:val="24"/>
        </w:rPr>
        <w:t>0037</w:t>
      </w:r>
      <w:r w:rsidRPr="00310843">
        <w:rPr>
          <w:rFonts w:ascii="Palatino Linotype" w:hAnsi="Palatino Linotype" w:cs="Arial"/>
          <w:b/>
          <w:sz w:val="24"/>
          <w:szCs w:val="24"/>
        </w:rPr>
        <w:t>/INFOEM/IP/RR/201</w:t>
      </w:r>
      <w:r>
        <w:rPr>
          <w:rFonts w:ascii="Palatino Linotype" w:hAnsi="Palatino Linotype" w:cs="Arial"/>
          <w:b/>
          <w:sz w:val="24"/>
          <w:szCs w:val="24"/>
        </w:rPr>
        <w:t>9</w:t>
      </w:r>
      <w:r w:rsidRPr="00310843">
        <w:rPr>
          <w:rFonts w:ascii="Palatino Linotype" w:hAnsi="Palatino Linotype" w:cs="Arial"/>
          <w:b/>
          <w:sz w:val="24"/>
          <w:szCs w:val="24"/>
        </w:rPr>
        <w:t>.</w:t>
      </w:r>
    </w:p>
    <w:p w:rsidR="002A3FC6" w:rsidRPr="00310843" w:rsidRDefault="002A3FC6" w:rsidP="002A3FC6">
      <w:pPr>
        <w:spacing w:after="0" w:line="360" w:lineRule="auto"/>
        <w:jc w:val="both"/>
        <w:rPr>
          <w:rFonts w:ascii="Palatino Linotype" w:hAnsi="Palatino Linotype" w:cs="Arial"/>
          <w:b/>
          <w:sz w:val="24"/>
          <w:szCs w:val="24"/>
        </w:rPr>
      </w:pPr>
    </w:p>
    <w:p w:rsidR="002A3FC6" w:rsidRDefault="002A3FC6" w:rsidP="002A3FC6">
      <w:pPr>
        <w:spacing w:after="0" w:line="360" w:lineRule="auto"/>
        <w:jc w:val="both"/>
        <w:rPr>
          <w:rFonts w:ascii="Palatino Linotype" w:hAnsi="Palatino Linotype" w:cs="Arial"/>
          <w:sz w:val="24"/>
          <w:szCs w:val="24"/>
        </w:rPr>
      </w:pPr>
      <w:r w:rsidRPr="00310843">
        <w:rPr>
          <w:rFonts w:ascii="Palatino Linotype" w:hAnsi="Palatino Linotype" w:cs="Arial"/>
          <w:b/>
          <w:sz w:val="24"/>
          <w:szCs w:val="24"/>
        </w:rPr>
        <w:t xml:space="preserve">Resumen del voto: </w:t>
      </w:r>
      <w:r w:rsidRPr="00310843">
        <w:rPr>
          <w:rFonts w:ascii="Palatino Linotype" w:hAnsi="Palatino Linotype" w:cs="Arial"/>
          <w:sz w:val="24"/>
          <w:szCs w:val="24"/>
        </w:rPr>
        <w:t>El pre</w:t>
      </w:r>
      <w:r>
        <w:rPr>
          <w:rFonts w:ascii="Palatino Linotype" w:hAnsi="Palatino Linotype" w:cs="Arial"/>
          <w:sz w:val="24"/>
          <w:szCs w:val="24"/>
        </w:rPr>
        <w:t>sente voto particular señala</w:t>
      </w:r>
      <w:r w:rsidRPr="00310843">
        <w:rPr>
          <w:rFonts w:ascii="Palatino Linotype" w:hAnsi="Palatino Linotype" w:cs="Arial"/>
          <w:b/>
          <w:sz w:val="24"/>
          <w:szCs w:val="24"/>
        </w:rPr>
        <w:t xml:space="preserve"> </w:t>
      </w:r>
      <w:r w:rsidRPr="002A3FC6">
        <w:rPr>
          <w:rFonts w:ascii="Palatino Linotype" w:hAnsi="Palatino Linotype" w:cs="Arial"/>
          <w:sz w:val="24"/>
          <w:szCs w:val="24"/>
        </w:rPr>
        <w:t>la falta de certeza en el desistimiento de los solicitantes cuando hacen manifestaciones de inconformidad</w:t>
      </w:r>
      <w:r>
        <w:rPr>
          <w:rFonts w:ascii="Palatino Linotype" w:hAnsi="Palatino Linotype" w:cs="Arial"/>
          <w:sz w:val="24"/>
          <w:szCs w:val="24"/>
        </w:rPr>
        <w:t xml:space="preserve"> en lugar de expresar su conformidad con la información</w:t>
      </w:r>
      <w:r w:rsidR="003064A9">
        <w:rPr>
          <w:rFonts w:ascii="Palatino Linotype" w:hAnsi="Palatino Linotype" w:cs="Arial"/>
          <w:sz w:val="24"/>
          <w:szCs w:val="24"/>
        </w:rPr>
        <w:t xml:space="preserve"> que se les entrega mediante la </w:t>
      </w:r>
      <w:proofErr w:type="gramStart"/>
      <w:r w:rsidR="003064A9">
        <w:rPr>
          <w:rFonts w:ascii="Palatino Linotype" w:hAnsi="Palatino Linotype" w:cs="Arial"/>
          <w:sz w:val="24"/>
          <w:szCs w:val="24"/>
        </w:rPr>
        <w:t>respuesta</w:t>
      </w:r>
      <w:proofErr w:type="gramEnd"/>
      <w:r>
        <w:rPr>
          <w:rFonts w:ascii="Palatino Linotype" w:hAnsi="Palatino Linotype" w:cs="Arial"/>
          <w:sz w:val="24"/>
          <w:szCs w:val="24"/>
        </w:rPr>
        <w:t>.</w:t>
      </w:r>
    </w:p>
    <w:p w:rsidR="002A3FC6" w:rsidRPr="002A3FC6" w:rsidRDefault="002A3FC6" w:rsidP="002A3FC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sdt>
      <w:sdtPr>
        <w:rPr>
          <w:szCs w:val="24"/>
          <w:lang w:val="es-ES"/>
        </w:rPr>
        <w:id w:val="-1339223820"/>
        <w:docPartObj>
          <w:docPartGallery w:val="Table of Contents"/>
          <w:docPartUnique/>
        </w:docPartObj>
      </w:sdtPr>
      <w:sdtEndPr>
        <w:rPr>
          <w:bCs/>
        </w:rPr>
      </w:sdtEndPr>
      <w:sdtContent>
        <w:p w:rsidR="002A3FC6" w:rsidRPr="00310843" w:rsidRDefault="002A3FC6" w:rsidP="002A3FC6">
          <w:pPr>
            <w:keepNext/>
            <w:keepLines/>
            <w:spacing w:before="240" w:after="0"/>
            <w:rPr>
              <w:rFonts w:ascii="Palatino Linotype" w:eastAsiaTheme="majorEastAsia" w:hAnsi="Palatino Linotype" w:cstheme="majorBidi"/>
              <w:b/>
              <w:sz w:val="24"/>
              <w:szCs w:val="24"/>
              <w:lang w:eastAsia="es-MX"/>
            </w:rPr>
          </w:pPr>
          <w:r w:rsidRPr="00310843">
            <w:rPr>
              <w:rFonts w:ascii="Palatino Linotype" w:eastAsiaTheme="majorEastAsia" w:hAnsi="Palatino Linotype" w:cstheme="majorBidi"/>
              <w:b/>
              <w:sz w:val="24"/>
              <w:szCs w:val="24"/>
              <w:lang w:val="es-ES" w:eastAsia="es-MX"/>
            </w:rPr>
            <w:t>Índice</w:t>
          </w:r>
        </w:p>
        <w:p w:rsidR="00592FEC" w:rsidRDefault="002A3FC6">
          <w:pPr>
            <w:pStyle w:val="TDC1"/>
            <w:tabs>
              <w:tab w:val="left" w:pos="440"/>
              <w:tab w:val="right" w:leader="dot" w:pos="8828"/>
            </w:tabs>
            <w:rPr>
              <w:rFonts w:eastAsiaTheme="minorEastAsia"/>
              <w:noProof/>
              <w:lang w:eastAsia="es-MX"/>
            </w:rPr>
          </w:pPr>
          <w:r w:rsidRPr="00310843">
            <w:rPr>
              <w:rFonts w:ascii="Palatino Linotype" w:hAnsi="Palatino Linotype"/>
              <w:b/>
              <w:sz w:val="24"/>
              <w:szCs w:val="24"/>
            </w:rPr>
            <w:fldChar w:fldCharType="begin"/>
          </w:r>
          <w:r w:rsidRPr="00310843">
            <w:rPr>
              <w:rFonts w:ascii="Palatino Linotype" w:hAnsi="Palatino Linotype"/>
              <w:b/>
              <w:sz w:val="24"/>
              <w:szCs w:val="24"/>
            </w:rPr>
            <w:instrText xml:space="preserve"> TOC \o "1-3" \h \z \u </w:instrText>
          </w:r>
          <w:r w:rsidRPr="00310843">
            <w:rPr>
              <w:rFonts w:ascii="Palatino Linotype" w:hAnsi="Palatino Linotype"/>
              <w:b/>
              <w:sz w:val="24"/>
              <w:szCs w:val="24"/>
            </w:rPr>
            <w:fldChar w:fldCharType="separate"/>
          </w:r>
          <w:hyperlink w:anchor="_Toc2012868" w:history="1">
            <w:r w:rsidR="00592FEC" w:rsidRPr="00BC6667">
              <w:rPr>
                <w:rStyle w:val="Hipervnculo"/>
                <w:rFonts w:ascii="Palatino Linotype" w:eastAsiaTheme="majorEastAsia" w:hAnsi="Palatino Linotype" w:cstheme="majorBidi"/>
                <w:b/>
                <w:noProof/>
              </w:rPr>
              <w:t>I.</w:t>
            </w:r>
            <w:r w:rsidR="00592FEC">
              <w:rPr>
                <w:rFonts w:eastAsiaTheme="minorEastAsia"/>
                <w:noProof/>
                <w:lang w:eastAsia="es-MX"/>
              </w:rPr>
              <w:tab/>
            </w:r>
            <w:r w:rsidR="00592FEC" w:rsidRPr="00BC6667">
              <w:rPr>
                <w:rStyle w:val="Hipervnculo"/>
                <w:rFonts w:ascii="Palatino Linotype" w:eastAsiaTheme="majorEastAsia" w:hAnsi="Palatino Linotype" w:cstheme="majorBidi"/>
                <w:b/>
                <w:noProof/>
              </w:rPr>
              <w:t>Consideraciones Generales.</w:t>
            </w:r>
            <w:r w:rsidR="00592FEC">
              <w:rPr>
                <w:noProof/>
                <w:webHidden/>
              </w:rPr>
              <w:tab/>
            </w:r>
            <w:r w:rsidR="00592FEC">
              <w:rPr>
                <w:noProof/>
                <w:webHidden/>
              </w:rPr>
              <w:fldChar w:fldCharType="begin"/>
            </w:r>
            <w:r w:rsidR="00592FEC">
              <w:rPr>
                <w:noProof/>
                <w:webHidden/>
              </w:rPr>
              <w:instrText xml:space="preserve"> PAGEREF _Toc2012868 \h </w:instrText>
            </w:r>
            <w:r w:rsidR="00592FEC">
              <w:rPr>
                <w:noProof/>
                <w:webHidden/>
              </w:rPr>
            </w:r>
            <w:r w:rsidR="00592FEC">
              <w:rPr>
                <w:noProof/>
                <w:webHidden/>
              </w:rPr>
              <w:fldChar w:fldCharType="separate"/>
            </w:r>
            <w:r w:rsidR="00592FEC">
              <w:rPr>
                <w:noProof/>
                <w:webHidden/>
              </w:rPr>
              <w:t>1</w:t>
            </w:r>
            <w:r w:rsidR="00592FEC">
              <w:rPr>
                <w:noProof/>
                <w:webHidden/>
              </w:rPr>
              <w:fldChar w:fldCharType="end"/>
            </w:r>
          </w:hyperlink>
        </w:p>
        <w:p w:rsidR="00592FEC" w:rsidRDefault="00A02E80">
          <w:pPr>
            <w:pStyle w:val="TDC1"/>
            <w:tabs>
              <w:tab w:val="left" w:pos="660"/>
              <w:tab w:val="right" w:leader="dot" w:pos="8828"/>
            </w:tabs>
            <w:rPr>
              <w:rFonts w:eastAsiaTheme="minorEastAsia"/>
              <w:noProof/>
              <w:lang w:eastAsia="es-MX"/>
            </w:rPr>
          </w:pPr>
          <w:hyperlink w:anchor="_Toc2012869" w:history="1">
            <w:r w:rsidR="00592FEC" w:rsidRPr="00BC6667">
              <w:rPr>
                <w:rStyle w:val="Hipervnculo"/>
                <w:rFonts w:ascii="Palatino Linotype" w:eastAsiaTheme="majorEastAsia" w:hAnsi="Palatino Linotype" w:cstheme="majorBidi"/>
                <w:b/>
                <w:noProof/>
              </w:rPr>
              <w:t>II.</w:t>
            </w:r>
            <w:r w:rsidR="00592FEC">
              <w:rPr>
                <w:rFonts w:eastAsiaTheme="minorEastAsia"/>
                <w:noProof/>
                <w:lang w:eastAsia="es-MX"/>
              </w:rPr>
              <w:tab/>
            </w:r>
            <w:r w:rsidR="00592FEC" w:rsidRPr="00BC6667">
              <w:rPr>
                <w:rStyle w:val="Hipervnculo"/>
                <w:rFonts w:ascii="Palatino Linotype" w:eastAsiaTheme="majorEastAsia" w:hAnsi="Palatino Linotype" w:cstheme="majorBidi"/>
                <w:b/>
                <w:noProof/>
              </w:rPr>
              <w:t>Del Procedimiento de Acceso a la Información Pública.</w:t>
            </w:r>
            <w:r w:rsidR="00592FEC">
              <w:rPr>
                <w:noProof/>
                <w:webHidden/>
              </w:rPr>
              <w:tab/>
            </w:r>
            <w:r w:rsidR="00592FEC">
              <w:rPr>
                <w:noProof/>
                <w:webHidden/>
              </w:rPr>
              <w:fldChar w:fldCharType="begin"/>
            </w:r>
            <w:r w:rsidR="00592FEC">
              <w:rPr>
                <w:noProof/>
                <w:webHidden/>
              </w:rPr>
              <w:instrText xml:space="preserve"> PAGEREF _Toc2012869 \h </w:instrText>
            </w:r>
            <w:r w:rsidR="00592FEC">
              <w:rPr>
                <w:noProof/>
                <w:webHidden/>
              </w:rPr>
            </w:r>
            <w:r w:rsidR="00592FEC">
              <w:rPr>
                <w:noProof/>
                <w:webHidden/>
              </w:rPr>
              <w:fldChar w:fldCharType="separate"/>
            </w:r>
            <w:r w:rsidR="00592FEC">
              <w:rPr>
                <w:noProof/>
                <w:webHidden/>
              </w:rPr>
              <w:t>2</w:t>
            </w:r>
            <w:r w:rsidR="00592FEC">
              <w:rPr>
                <w:noProof/>
                <w:webHidden/>
              </w:rPr>
              <w:fldChar w:fldCharType="end"/>
            </w:r>
          </w:hyperlink>
        </w:p>
        <w:p w:rsidR="00592FEC" w:rsidRDefault="00A02E80">
          <w:pPr>
            <w:pStyle w:val="TDC1"/>
            <w:tabs>
              <w:tab w:val="left" w:pos="660"/>
              <w:tab w:val="right" w:leader="dot" w:pos="8828"/>
            </w:tabs>
            <w:rPr>
              <w:rFonts w:eastAsiaTheme="minorEastAsia"/>
              <w:noProof/>
              <w:lang w:eastAsia="es-MX"/>
            </w:rPr>
          </w:pPr>
          <w:hyperlink w:anchor="_Toc2012870" w:history="1">
            <w:r w:rsidR="00592FEC" w:rsidRPr="00BC6667">
              <w:rPr>
                <w:rStyle w:val="Hipervnculo"/>
                <w:rFonts w:ascii="Palatino Linotype" w:hAnsi="Palatino Linotype" w:cs="Arial"/>
                <w:b/>
                <w:i/>
                <w:noProof/>
              </w:rPr>
              <w:t>III.</w:t>
            </w:r>
            <w:r w:rsidR="00592FEC">
              <w:rPr>
                <w:rFonts w:eastAsiaTheme="minorEastAsia"/>
                <w:noProof/>
                <w:lang w:eastAsia="es-MX"/>
              </w:rPr>
              <w:tab/>
            </w:r>
            <w:r w:rsidR="00592FEC" w:rsidRPr="00BC6667">
              <w:rPr>
                <w:rStyle w:val="Hipervnculo"/>
                <w:rFonts w:ascii="Palatino Linotype" w:eastAsiaTheme="majorEastAsia" w:hAnsi="Palatino Linotype" w:cstheme="majorBidi"/>
                <w:b/>
                <w:noProof/>
              </w:rPr>
              <w:t>Del contenido del desistimiento</w:t>
            </w:r>
            <w:r w:rsidR="00592FEC">
              <w:rPr>
                <w:noProof/>
                <w:webHidden/>
              </w:rPr>
              <w:tab/>
            </w:r>
            <w:r w:rsidR="00592FEC">
              <w:rPr>
                <w:noProof/>
                <w:webHidden/>
              </w:rPr>
              <w:fldChar w:fldCharType="begin"/>
            </w:r>
            <w:r w:rsidR="00592FEC">
              <w:rPr>
                <w:noProof/>
                <w:webHidden/>
              </w:rPr>
              <w:instrText xml:space="preserve"> PAGEREF _Toc2012870 \h </w:instrText>
            </w:r>
            <w:r w:rsidR="00592FEC">
              <w:rPr>
                <w:noProof/>
                <w:webHidden/>
              </w:rPr>
            </w:r>
            <w:r w:rsidR="00592FEC">
              <w:rPr>
                <w:noProof/>
                <w:webHidden/>
              </w:rPr>
              <w:fldChar w:fldCharType="separate"/>
            </w:r>
            <w:r w:rsidR="00592FEC">
              <w:rPr>
                <w:noProof/>
                <w:webHidden/>
              </w:rPr>
              <w:t>6</w:t>
            </w:r>
            <w:r w:rsidR="00592FEC">
              <w:rPr>
                <w:noProof/>
                <w:webHidden/>
              </w:rPr>
              <w:fldChar w:fldCharType="end"/>
            </w:r>
          </w:hyperlink>
        </w:p>
        <w:p w:rsidR="00592FEC" w:rsidRDefault="00A02E80" w:rsidP="00592FEC">
          <w:pPr>
            <w:pStyle w:val="TDC2"/>
            <w:tabs>
              <w:tab w:val="right" w:leader="dot" w:pos="8828"/>
            </w:tabs>
            <w:ind w:left="0"/>
            <w:rPr>
              <w:noProof/>
            </w:rPr>
          </w:pPr>
          <w:hyperlink w:anchor="_Toc2012871" w:history="1">
            <w:r w:rsidR="00592FEC" w:rsidRPr="00BC6667">
              <w:rPr>
                <w:rStyle w:val="Hipervnculo"/>
                <w:rFonts w:ascii="Palatino Linotype" w:hAnsi="Palatino Linotype"/>
                <w:b/>
                <w:noProof/>
              </w:rPr>
              <w:t>IV. Conclusión.</w:t>
            </w:r>
            <w:r w:rsidR="00592FEC">
              <w:rPr>
                <w:noProof/>
                <w:webHidden/>
              </w:rPr>
              <w:tab/>
            </w:r>
            <w:r w:rsidR="00592FEC">
              <w:rPr>
                <w:noProof/>
                <w:webHidden/>
              </w:rPr>
              <w:fldChar w:fldCharType="begin"/>
            </w:r>
            <w:r w:rsidR="00592FEC">
              <w:rPr>
                <w:noProof/>
                <w:webHidden/>
              </w:rPr>
              <w:instrText xml:space="preserve"> PAGEREF _Toc2012871 \h </w:instrText>
            </w:r>
            <w:r w:rsidR="00592FEC">
              <w:rPr>
                <w:noProof/>
                <w:webHidden/>
              </w:rPr>
            </w:r>
            <w:r w:rsidR="00592FEC">
              <w:rPr>
                <w:noProof/>
                <w:webHidden/>
              </w:rPr>
              <w:fldChar w:fldCharType="separate"/>
            </w:r>
            <w:r w:rsidR="00592FEC">
              <w:rPr>
                <w:noProof/>
                <w:webHidden/>
              </w:rPr>
              <w:t>7</w:t>
            </w:r>
            <w:r w:rsidR="00592FEC">
              <w:rPr>
                <w:noProof/>
                <w:webHidden/>
              </w:rPr>
              <w:fldChar w:fldCharType="end"/>
            </w:r>
          </w:hyperlink>
        </w:p>
        <w:p w:rsidR="002A3FC6" w:rsidRPr="002A3FC6" w:rsidRDefault="002A3FC6" w:rsidP="002A3FC6">
          <w:pPr>
            <w:rPr>
              <w:rFonts w:ascii="Palatino Linotype" w:hAnsi="Palatino Linotype"/>
              <w:b/>
              <w:bCs/>
              <w:sz w:val="24"/>
              <w:szCs w:val="24"/>
              <w:lang w:val="es-ES"/>
            </w:rPr>
          </w:pPr>
          <w:r w:rsidRPr="00310843">
            <w:rPr>
              <w:rFonts w:ascii="Palatino Linotype" w:hAnsi="Palatino Linotype"/>
              <w:b/>
              <w:bCs/>
              <w:sz w:val="24"/>
              <w:szCs w:val="24"/>
              <w:lang w:val="es-ES"/>
            </w:rPr>
            <w:fldChar w:fldCharType="end"/>
          </w:r>
        </w:p>
      </w:sdtContent>
    </w:sdt>
    <w:p w:rsidR="002A3FC6" w:rsidRPr="00310843" w:rsidRDefault="002A3FC6" w:rsidP="002A3FC6"/>
    <w:p w:rsidR="002A3FC6" w:rsidRPr="00310843" w:rsidRDefault="002A3FC6" w:rsidP="002A3FC6">
      <w:pPr>
        <w:keepNext/>
        <w:keepLines/>
        <w:numPr>
          <w:ilvl w:val="0"/>
          <w:numId w:val="2"/>
        </w:numPr>
        <w:spacing w:before="240" w:after="0"/>
        <w:ind w:left="0" w:firstLine="0"/>
        <w:outlineLvl w:val="0"/>
        <w:rPr>
          <w:rFonts w:ascii="Palatino Linotype" w:eastAsiaTheme="majorEastAsia" w:hAnsi="Palatino Linotype" w:cstheme="majorBidi"/>
          <w:b/>
          <w:sz w:val="24"/>
          <w:szCs w:val="32"/>
        </w:rPr>
      </w:pPr>
      <w:bookmarkStart w:id="0" w:name="_Toc2012868"/>
      <w:r w:rsidRPr="00310843">
        <w:rPr>
          <w:rFonts w:ascii="Palatino Linotype" w:eastAsiaTheme="majorEastAsia" w:hAnsi="Palatino Linotype" w:cstheme="majorBidi"/>
          <w:b/>
          <w:sz w:val="24"/>
          <w:szCs w:val="32"/>
        </w:rPr>
        <w:t>Consideraciones Generales.</w:t>
      </w:r>
      <w:bookmarkEnd w:id="0"/>
    </w:p>
    <w:p w:rsidR="002A3FC6" w:rsidRPr="00310843" w:rsidRDefault="002A3FC6" w:rsidP="002A3FC6"/>
    <w:p w:rsidR="002A3FC6" w:rsidRPr="00310843" w:rsidRDefault="002A3FC6" w:rsidP="002A3FC6">
      <w:pPr>
        <w:numPr>
          <w:ilvl w:val="0"/>
          <w:numId w:val="1"/>
        </w:numPr>
        <w:spacing w:after="0" w:line="360" w:lineRule="auto"/>
        <w:ind w:left="0" w:firstLine="0"/>
        <w:contextualSpacing/>
        <w:jc w:val="both"/>
        <w:rPr>
          <w:rFonts w:ascii="Palatino Linotype" w:hAnsi="Palatino Linotype" w:cs="Arial"/>
          <w:b/>
          <w:sz w:val="24"/>
          <w:szCs w:val="24"/>
        </w:rPr>
      </w:pPr>
      <w:r w:rsidRPr="00310843">
        <w:rPr>
          <w:rFonts w:ascii="Palatino Linotype" w:eastAsia="Times New Roman" w:hAnsi="Palatino Linotype" w:cs="Arial"/>
          <w:sz w:val="24"/>
          <w:szCs w:val="24"/>
          <w:lang w:val="es-ES_tradnl"/>
        </w:rPr>
        <w:t xml:space="preserve">He concurrido con mi voto particular de la presente resolución emitida </w:t>
      </w:r>
      <w:r w:rsidRPr="00310843">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Pr>
          <w:rFonts w:ascii="Palatino Linotype" w:hAnsi="Palatino Linotype" w:cs="Arial"/>
          <w:sz w:val="24"/>
          <w:szCs w:val="24"/>
        </w:rPr>
        <w:t>Séptima</w:t>
      </w:r>
      <w:r w:rsidRPr="00310843">
        <w:rPr>
          <w:rFonts w:ascii="Palatino Linotype" w:hAnsi="Palatino Linotype" w:cs="Arial"/>
          <w:sz w:val="24"/>
          <w:szCs w:val="24"/>
        </w:rPr>
        <w:t xml:space="preserve"> Sesión Ordinaria celebrada el día </w:t>
      </w:r>
      <w:r>
        <w:rPr>
          <w:rFonts w:ascii="Palatino Linotype" w:hAnsi="Palatino Linotype" w:cs="Arial"/>
          <w:sz w:val="24"/>
          <w:szCs w:val="24"/>
        </w:rPr>
        <w:t>veinte (20) de febrero de dos mil diecinueve</w:t>
      </w:r>
      <w:r w:rsidRPr="00310843">
        <w:rPr>
          <w:rFonts w:ascii="Palatino Linotype" w:hAnsi="Palatino Linotype" w:cs="Arial"/>
          <w:sz w:val="24"/>
          <w:szCs w:val="24"/>
        </w:rPr>
        <w:t xml:space="preserve">, en el recurso de revisión en contra de la respuesta de la </w:t>
      </w:r>
      <w:r w:rsidRPr="002A3FC6">
        <w:rPr>
          <w:rFonts w:ascii="Palatino Linotype" w:eastAsia="Times New Roman" w:hAnsi="Palatino Linotype" w:cs="Arial"/>
          <w:b/>
          <w:sz w:val="24"/>
          <w:szCs w:val="24"/>
          <w:lang w:eastAsia="es-ES"/>
        </w:rPr>
        <w:t>Secretaría de Finanzas</w:t>
      </w:r>
      <w:r w:rsidRPr="00310843">
        <w:rPr>
          <w:rFonts w:ascii="Palatino Linotype" w:hAnsi="Palatino Linotype" w:cs="Arial"/>
          <w:sz w:val="24"/>
          <w:szCs w:val="24"/>
        </w:rPr>
        <w:t xml:space="preserve">, procedimiento al que se le asignó el número de expediente </w:t>
      </w:r>
      <w:r w:rsidRPr="00310843">
        <w:rPr>
          <w:rFonts w:ascii="Palatino Linotype" w:hAnsi="Palatino Linotype" w:cs="Arial"/>
          <w:b/>
          <w:bCs/>
          <w:sz w:val="24"/>
          <w:szCs w:val="24"/>
        </w:rPr>
        <w:t>0</w:t>
      </w:r>
      <w:r>
        <w:rPr>
          <w:rFonts w:ascii="Palatino Linotype" w:hAnsi="Palatino Linotype" w:cs="Arial"/>
          <w:b/>
          <w:bCs/>
          <w:sz w:val="24"/>
          <w:szCs w:val="24"/>
        </w:rPr>
        <w:t>0037</w:t>
      </w:r>
      <w:r w:rsidRPr="00310843">
        <w:rPr>
          <w:rFonts w:ascii="Palatino Linotype" w:hAnsi="Palatino Linotype" w:cs="Arial"/>
          <w:b/>
          <w:bCs/>
          <w:sz w:val="24"/>
          <w:szCs w:val="24"/>
        </w:rPr>
        <w:t>/INFOEM/IP/RR/201</w:t>
      </w:r>
      <w:r>
        <w:rPr>
          <w:rFonts w:ascii="Palatino Linotype" w:hAnsi="Palatino Linotype" w:cs="Arial"/>
          <w:b/>
          <w:bCs/>
          <w:sz w:val="24"/>
          <w:szCs w:val="24"/>
        </w:rPr>
        <w:t>9</w:t>
      </w:r>
      <w:r w:rsidRPr="00310843">
        <w:rPr>
          <w:rFonts w:ascii="Palatino Linotype" w:hAnsi="Palatino Linotype" w:cs="Arial"/>
          <w:b/>
          <w:bCs/>
          <w:sz w:val="24"/>
          <w:szCs w:val="24"/>
        </w:rPr>
        <w:t>.</w:t>
      </w:r>
    </w:p>
    <w:p w:rsidR="002A3FC6" w:rsidRPr="00310843" w:rsidRDefault="002A3FC6" w:rsidP="002A3FC6">
      <w:pPr>
        <w:spacing w:after="0" w:line="360" w:lineRule="auto"/>
        <w:contextualSpacing/>
        <w:jc w:val="both"/>
        <w:rPr>
          <w:rFonts w:ascii="Palatino Linotype" w:hAnsi="Palatino Linotype" w:cs="Arial"/>
          <w:b/>
          <w:sz w:val="24"/>
          <w:szCs w:val="24"/>
        </w:rPr>
      </w:pPr>
    </w:p>
    <w:p w:rsidR="002A3FC6" w:rsidRPr="00310843" w:rsidRDefault="002A3FC6" w:rsidP="002A3FC6">
      <w:pPr>
        <w:spacing w:after="0" w:line="360" w:lineRule="auto"/>
        <w:contextualSpacing/>
        <w:jc w:val="both"/>
        <w:rPr>
          <w:rFonts w:ascii="Palatino Linotype" w:hAnsi="Palatino Linotype" w:cs="Arial"/>
          <w:b/>
          <w:sz w:val="24"/>
          <w:szCs w:val="24"/>
        </w:rPr>
      </w:pPr>
    </w:p>
    <w:p w:rsidR="00F940D3" w:rsidRDefault="00F940D3" w:rsidP="002A3FC6">
      <w:pPr>
        <w:numPr>
          <w:ilvl w:val="0"/>
          <w:numId w:val="1"/>
        </w:numPr>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 xml:space="preserve">Se determina puntualmente el </w:t>
      </w:r>
      <w:r w:rsidRPr="00F940D3">
        <w:rPr>
          <w:rFonts w:ascii="Palatino Linotype" w:hAnsi="Palatino Linotype" w:cs="Arial"/>
          <w:b/>
          <w:sz w:val="24"/>
          <w:szCs w:val="24"/>
        </w:rPr>
        <w:t>SOBRESEIMIENTO</w:t>
      </w:r>
      <w:r>
        <w:rPr>
          <w:rFonts w:ascii="Palatino Linotype" w:hAnsi="Palatino Linotype" w:cs="Arial"/>
          <w:sz w:val="24"/>
          <w:szCs w:val="24"/>
        </w:rPr>
        <w:t xml:space="preserve"> del </w:t>
      </w:r>
      <w:r w:rsidRPr="00310843">
        <w:rPr>
          <w:rFonts w:ascii="Palatino Linotype" w:hAnsi="Palatino Linotype" w:cs="Arial"/>
          <w:sz w:val="24"/>
          <w:szCs w:val="24"/>
        </w:rPr>
        <w:t>recurso de revisión, en términos del Considerando</w:t>
      </w:r>
      <w:r>
        <w:rPr>
          <w:rFonts w:ascii="Palatino Linotype" w:hAnsi="Palatino Linotype" w:cs="Arial"/>
          <w:b/>
          <w:sz w:val="24"/>
          <w:szCs w:val="24"/>
        </w:rPr>
        <w:t xml:space="preserve"> QUINTO</w:t>
      </w:r>
      <w:r w:rsidRPr="00F940D3">
        <w:rPr>
          <w:rFonts w:ascii="Palatino Linotype" w:eastAsia="Times New Roman" w:hAnsi="Palatino Linotype" w:cs="Arial"/>
          <w:color w:val="000000"/>
          <w:sz w:val="24"/>
          <w:szCs w:val="24"/>
          <w:lang w:eastAsia="es-ES"/>
        </w:rPr>
        <w:t xml:space="preserve"> de la resolución</w:t>
      </w:r>
      <w:r>
        <w:rPr>
          <w:rFonts w:ascii="Palatino Linotype" w:eastAsia="Times New Roman" w:hAnsi="Palatino Linotype" w:cs="Arial"/>
          <w:color w:val="000000"/>
          <w:sz w:val="24"/>
          <w:szCs w:val="24"/>
          <w:lang w:eastAsia="es-ES"/>
        </w:rPr>
        <w:t>.</w:t>
      </w:r>
    </w:p>
    <w:p w:rsidR="002A3FC6" w:rsidRPr="00310843" w:rsidRDefault="002A3FC6" w:rsidP="002A3FC6">
      <w:pPr>
        <w:spacing w:after="0" w:line="360" w:lineRule="auto"/>
        <w:contextualSpacing/>
        <w:jc w:val="both"/>
        <w:rPr>
          <w:rFonts w:ascii="Palatino Linotype" w:hAnsi="Palatino Linotype" w:cs="Arial"/>
          <w:sz w:val="24"/>
          <w:szCs w:val="24"/>
        </w:rPr>
      </w:pPr>
    </w:p>
    <w:p w:rsidR="002A3FC6" w:rsidRPr="00310843" w:rsidRDefault="002A3FC6" w:rsidP="002A3FC6">
      <w:pPr>
        <w:numPr>
          <w:ilvl w:val="0"/>
          <w:numId w:val="1"/>
        </w:numPr>
        <w:spacing w:after="0" w:line="360" w:lineRule="auto"/>
        <w:ind w:left="0" w:firstLine="0"/>
        <w:contextualSpacing/>
        <w:jc w:val="both"/>
        <w:rPr>
          <w:rFonts w:ascii="Palatino Linotype" w:hAnsi="Palatino Linotype" w:cs="Arial"/>
          <w:sz w:val="24"/>
          <w:szCs w:val="24"/>
        </w:rPr>
      </w:pPr>
      <w:r w:rsidRPr="00310843">
        <w:rPr>
          <w:rFonts w:ascii="Palatino Linotype" w:hAnsi="Palatino Linotype" w:cs="Arial"/>
          <w:sz w:val="24"/>
          <w:szCs w:val="24"/>
        </w:rPr>
        <w:t xml:space="preserve">Por tal motivo y en términos de lo señalado por el artículo 14 fracción XI del Reglamento Interior del Instituto de Transparencia y Acceso a la Información Pública del Estado de México y Municipios formulo la presente voto particular. </w:t>
      </w:r>
    </w:p>
    <w:p w:rsidR="002A3FC6" w:rsidRPr="00310843" w:rsidRDefault="002A3FC6" w:rsidP="002A3FC6">
      <w:pPr>
        <w:contextualSpacing/>
        <w:rPr>
          <w:rFonts w:ascii="Palatino Linotype" w:hAnsi="Palatino Linotype" w:cs="Arial"/>
          <w:sz w:val="24"/>
          <w:szCs w:val="24"/>
        </w:rPr>
      </w:pPr>
    </w:p>
    <w:p w:rsidR="002A3FC6" w:rsidRPr="00310843" w:rsidRDefault="002A3FC6" w:rsidP="002A3FC6">
      <w:pPr>
        <w:keepNext/>
        <w:keepLines/>
        <w:numPr>
          <w:ilvl w:val="0"/>
          <w:numId w:val="2"/>
        </w:numPr>
        <w:spacing w:before="240" w:after="0"/>
        <w:ind w:left="0" w:firstLine="0"/>
        <w:outlineLvl w:val="0"/>
        <w:rPr>
          <w:rFonts w:ascii="Palatino Linotype" w:eastAsiaTheme="majorEastAsia" w:hAnsi="Palatino Linotype" w:cstheme="majorBidi"/>
          <w:b/>
          <w:sz w:val="24"/>
          <w:szCs w:val="32"/>
        </w:rPr>
      </w:pPr>
      <w:bookmarkStart w:id="1" w:name="_Toc2012869"/>
      <w:r w:rsidRPr="00310843">
        <w:rPr>
          <w:rFonts w:ascii="Palatino Linotype" w:eastAsiaTheme="majorEastAsia" w:hAnsi="Palatino Linotype" w:cstheme="majorBidi"/>
          <w:b/>
          <w:sz w:val="24"/>
          <w:szCs w:val="32"/>
        </w:rPr>
        <w:t>Del Procedimiento de Acceso a la Información Pública.</w:t>
      </w:r>
      <w:bookmarkEnd w:id="1"/>
    </w:p>
    <w:p w:rsidR="002A3FC6" w:rsidRPr="00310843" w:rsidRDefault="002A3FC6" w:rsidP="002A3FC6"/>
    <w:p w:rsidR="002A3FC6" w:rsidRPr="00310843" w:rsidRDefault="002A3FC6" w:rsidP="002A3FC6">
      <w:pPr>
        <w:numPr>
          <w:ilvl w:val="0"/>
          <w:numId w:val="1"/>
        </w:numPr>
        <w:spacing w:before="240" w:after="240" w:line="360" w:lineRule="auto"/>
        <w:ind w:left="0" w:firstLine="0"/>
        <w:contextualSpacing/>
        <w:jc w:val="both"/>
        <w:rPr>
          <w:rFonts w:ascii="Palatino Linotype" w:hAnsi="Palatino Linotype" w:cs="Arial"/>
          <w:sz w:val="24"/>
          <w:szCs w:val="24"/>
        </w:rPr>
      </w:pPr>
      <w:r w:rsidRPr="00310843">
        <w:rPr>
          <w:rFonts w:ascii="Palatino Linotype" w:hAnsi="Palatino Linotype" w:cs="Arial"/>
          <w:sz w:val="24"/>
          <w:szCs w:val="24"/>
        </w:rPr>
        <w:t xml:space="preserve">En primer lugar, todo </w:t>
      </w:r>
      <w:r w:rsidRPr="00310843">
        <w:rPr>
          <w:rFonts w:ascii="Palatino Linotype" w:hAnsi="Palatino Linotype" w:cs="Arial"/>
          <w:b/>
          <w:sz w:val="24"/>
          <w:szCs w:val="24"/>
        </w:rPr>
        <w:t xml:space="preserve">SUJETO OBLIGADO, </w:t>
      </w:r>
      <w:r w:rsidRPr="00310843">
        <w:rPr>
          <w:rFonts w:ascii="Palatino Linotype" w:hAnsi="Palatino Linotype" w:cs="Arial"/>
          <w:sz w:val="24"/>
          <w:szCs w:val="24"/>
        </w:rPr>
        <w:t xml:space="preserve">debe tener presente que la </w:t>
      </w:r>
      <w:r w:rsidRPr="00310843">
        <w:rPr>
          <w:rFonts w:ascii="Palatino Linotype" w:hAnsi="Palatino Linotype" w:cs="Arial"/>
          <w:b/>
          <w:sz w:val="24"/>
          <w:szCs w:val="24"/>
        </w:rPr>
        <w:t xml:space="preserve">Ley de Transparencia y Acceso a la Información Pública del Estado de México y Municipios, </w:t>
      </w:r>
      <w:r w:rsidRPr="00310843">
        <w:rPr>
          <w:rFonts w:ascii="Palatino Linotype" w:hAnsi="Palatino Linotype" w:cs="Arial"/>
          <w:sz w:val="24"/>
          <w:szCs w:val="24"/>
        </w:rPr>
        <w:t xml:space="preserve">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sustanciares de manera sencilla y expedita propiciando las condiciones para el acceso, entrega y publicación de información. </w:t>
      </w:r>
    </w:p>
    <w:p w:rsidR="002A3FC6" w:rsidRPr="00310843" w:rsidRDefault="002A3FC6" w:rsidP="002A3FC6">
      <w:pPr>
        <w:spacing w:before="240" w:after="240" w:line="360" w:lineRule="auto"/>
        <w:contextualSpacing/>
        <w:jc w:val="both"/>
        <w:rPr>
          <w:rFonts w:ascii="Palatino Linotype" w:hAnsi="Palatino Linotype" w:cs="Arial"/>
          <w:sz w:val="24"/>
          <w:szCs w:val="24"/>
        </w:rPr>
      </w:pPr>
    </w:p>
    <w:p w:rsidR="002A3FC6" w:rsidRDefault="002A3FC6" w:rsidP="002A3FC6">
      <w:pPr>
        <w:numPr>
          <w:ilvl w:val="0"/>
          <w:numId w:val="1"/>
        </w:numPr>
        <w:spacing w:before="240" w:after="24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 xml:space="preserve">El recurrente </w:t>
      </w:r>
      <w:r w:rsidRPr="00310843">
        <w:rPr>
          <w:rFonts w:ascii="Palatino Linotype" w:hAnsi="Palatino Linotype" w:cs="Arial"/>
          <w:sz w:val="24"/>
          <w:szCs w:val="24"/>
        </w:rPr>
        <w:t xml:space="preserve">solicitó al Sujeto Obligado lo siguiente: </w:t>
      </w:r>
    </w:p>
    <w:p w:rsidR="002A3FC6" w:rsidRDefault="002A3FC6" w:rsidP="002A3FC6">
      <w:pPr>
        <w:ind w:left="567" w:right="616"/>
        <w:contextualSpacing/>
        <w:rPr>
          <w:rFonts w:ascii="Palatino Linotype" w:hAnsi="Palatino Linotype" w:cs="Arial"/>
          <w:i/>
          <w:sz w:val="24"/>
          <w:szCs w:val="24"/>
        </w:rPr>
      </w:pPr>
    </w:p>
    <w:p w:rsidR="002A3FC6" w:rsidRPr="00F940D3" w:rsidRDefault="002A3FC6" w:rsidP="00F940D3">
      <w:pPr>
        <w:ind w:left="567" w:right="616"/>
        <w:contextualSpacing/>
        <w:jc w:val="both"/>
        <w:rPr>
          <w:rFonts w:ascii="Palatino Linotype" w:hAnsi="Palatino Linotype" w:cs="Arial"/>
          <w:i/>
          <w:sz w:val="24"/>
          <w:szCs w:val="24"/>
        </w:rPr>
      </w:pPr>
      <w:r w:rsidRPr="00310843">
        <w:rPr>
          <w:rFonts w:ascii="Palatino Linotype" w:hAnsi="Palatino Linotype" w:cs="Arial"/>
          <w:i/>
          <w:sz w:val="24"/>
          <w:szCs w:val="24"/>
        </w:rPr>
        <w:lastRenderedPageBreak/>
        <w:t>“</w:t>
      </w:r>
      <w:r w:rsidR="00F940D3" w:rsidRPr="00F940D3">
        <w:rPr>
          <w:rFonts w:ascii="Palatino Linotype" w:eastAsia="Times New Roman" w:hAnsi="Palatino Linotype" w:cs="Arial"/>
          <w:i/>
          <w:lang w:eastAsia="es-ES"/>
        </w:rPr>
        <w:t>COMPRENDIENDO UN PERIODO DE TIEMPO DE ENERO DE 2018 A NOVIEMBRE DE 2018, SOLICITO EL CONTENIDO DEL CORREO ELECTRÓNICO DEL SERVIDOR PÚBLICO: RODRIGO JARQUE LIRA Lada (722) Cargo: SECRETARIO DE FINANZAS Teléfonos: 2760040 Dirección: LERDO PONIENTE NUMERO 300, PRIMER PISO, PUERTA 250, PALACIO DEL PODER EJECUTIVO, COLONIA CENTRO, CODIGO POSTAL 50000 TOLUCA *****SUPERIOR JERÁRQUICO DEL SERVIDOR PÚBLICO ULISES ARTURO ESPINOSA ESTRADA CON CLAVE DE SERVIDOR PUBLICO 997160693</w:t>
      </w:r>
      <w:r w:rsidRPr="00310843">
        <w:rPr>
          <w:rFonts w:ascii="Palatino Linotype" w:hAnsi="Palatino Linotype" w:cs="Arial"/>
          <w:i/>
          <w:sz w:val="24"/>
          <w:szCs w:val="24"/>
        </w:rPr>
        <w:t>.” (Sic).</w:t>
      </w:r>
    </w:p>
    <w:p w:rsidR="002A3FC6" w:rsidRPr="00310843" w:rsidRDefault="002A3FC6" w:rsidP="002A3FC6">
      <w:pPr>
        <w:spacing w:before="240" w:after="240" w:line="360" w:lineRule="auto"/>
        <w:ind w:left="567" w:right="616"/>
        <w:contextualSpacing/>
        <w:jc w:val="both"/>
        <w:rPr>
          <w:rFonts w:ascii="Palatino Linotype" w:hAnsi="Palatino Linotype" w:cs="Arial"/>
          <w:sz w:val="24"/>
          <w:szCs w:val="24"/>
        </w:rPr>
      </w:pPr>
    </w:p>
    <w:p w:rsidR="00F940D3" w:rsidRPr="00F940D3" w:rsidRDefault="002A3FC6" w:rsidP="00F940D3">
      <w:pPr>
        <w:pStyle w:val="Prrafodelista"/>
        <w:numPr>
          <w:ilvl w:val="0"/>
          <w:numId w:val="1"/>
        </w:numPr>
        <w:spacing w:line="360" w:lineRule="auto"/>
        <w:ind w:left="0" w:firstLine="0"/>
        <w:jc w:val="both"/>
        <w:rPr>
          <w:rFonts w:ascii="Palatino Linotype" w:eastAsia="MS Mincho" w:hAnsi="Palatino Linotype" w:cs="Times New Roman"/>
          <w:sz w:val="24"/>
          <w:szCs w:val="24"/>
          <w:lang w:val="es-ES_tradnl" w:eastAsia="es-ES"/>
        </w:rPr>
      </w:pPr>
      <w:r w:rsidRPr="00F940D3">
        <w:rPr>
          <w:rFonts w:ascii="Palatino Linotype" w:hAnsi="Palatino Linotype" w:cs="Arial"/>
          <w:sz w:val="24"/>
          <w:szCs w:val="24"/>
        </w:rPr>
        <w:t xml:space="preserve">El Sujeto Obligado en su respuesta refirió en términos generales que </w:t>
      </w:r>
      <w:r w:rsidR="00F940D3" w:rsidRPr="00F940D3">
        <w:rPr>
          <w:rFonts w:ascii="Palatino Linotype" w:eastAsia="Times New Roman" w:hAnsi="Palatino Linotype" w:cs="Times New Roman"/>
          <w:sz w:val="24"/>
          <w:szCs w:val="24"/>
          <w:lang w:val="es-ES" w:eastAsia="es-ES"/>
        </w:rPr>
        <w:t xml:space="preserve">los correos de la cuenta electrónica </w:t>
      </w:r>
      <w:hyperlink r:id="rId7" w:history="1">
        <w:r w:rsidR="00F940D3" w:rsidRPr="00F940D3">
          <w:rPr>
            <w:rFonts w:ascii="Palatino Linotype" w:eastAsia="Times New Roman" w:hAnsi="Palatino Linotype" w:cs="Times New Roman"/>
            <w:color w:val="035899"/>
            <w:sz w:val="24"/>
            <w:szCs w:val="24"/>
            <w:lang w:val="es-ES" w:eastAsia="es-ES"/>
          </w:rPr>
          <w:t>finanzas@edomex.gob.mx</w:t>
        </w:r>
      </w:hyperlink>
      <w:r w:rsidR="00F940D3" w:rsidRPr="00F940D3">
        <w:rPr>
          <w:rFonts w:ascii="Palatino Linotype" w:eastAsia="Times New Roman" w:hAnsi="Palatino Linotype" w:cs="Times New Roman"/>
          <w:sz w:val="24"/>
          <w:szCs w:val="24"/>
          <w:lang w:val="es-ES" w:eastAsia="es-ES"/>
        </w:rPr>
        <w:t xml:space="preserve"> motivo por el cual la particular se inconformó </w:t>
      </w:r>
      <w:r w:rsidR="00F940D3" w:rsidRPr="00F940D3">
        <w:rPr>
          <w:rFonts w:ascii="Palatino Linotype" w:eastAsia="MS Mincho" w:hAnsi="Palatino Linotype" w:cs="Times New Roman"/>
          <w:sz w:val="24"/>
          <w:szCs w:val="24"/>
          <w:lang w:val="es-ES_tradnl" w:eastAsia="es-ES"/>
        </w:rPr>
        <w:t>argumentando que lo remitido correspondía al correo electrónico de la Secretaría Particular, no así al correo electrónico del Secretario de Finanzas.</w:t>
      </w:r>
    </w:p>
    <w:p w:rsidR="00F940D3" w:rsidRPr="00F940D3" w:rsidRDefault="002A3FC6" w:rsidP="002A3FC6">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sz w:val="24"/>
          <w:szCs w:val="24"/>
          <w:lang w:val="es-ES"/>
        </w:rPr>
      </w:pPr>
      <w:r w:rsidRPr="005F4140">
        <w:rPr>
          <w:rFonts w:ascii="Palatino Linotype" w:hAnsi="Palatino Linotype" w:cs="Arial"/>
          <w:sz w:val="24"/>
          <w:szCs w:val="24"/>
          <w:lang w:val="es-ES"/>
        </w:rPr>
        <w:t xml:space="preserve">Estando en tiempo y forma el </w:t>
      </w:r>
      <w:r w:rsidRPr="005F4140">
        <w:rPr>
          <w:rFonts w:ascii="Palatino Linotype" w:hAnsi="Palatino Linotype" w:cs="Arial"/>
          <w:b/>
          <w:sz w:val="24"/>
          <w:szCs w:val="24"/>
          <w:lang w:val="es-ES"/>
        </w:rPr>
        <w:t>SUJETO OBLIGADO</w:t>
      </w:r>
      <w:r w:rsidRPr="005F4140">
        <w:rPr>
          <w:rFonts w:ascii="Palatino Linotype" w:hAnsi="Palatino Linotype" w:cs="Arial"/>
          <w:sz w:val="24"/>
          <w:szCs w:val="24"/>
          <w:lang w:val="es-ES"/>
        </w:rPr>
        <w:t xml:space="preserve"> presentó su respectivo informe justificado mediante</w:t>
      </w:r>
      <w:r w:rsidR="00F940D3">
        <w:rPr>
          <w:rFonts w:ascii="Palatino Linotype" w:hAnsi="Palatino Linotype" w:cs="Arial"/>
          <w:sz w:val="24"/>
          <w:szCs w:val="24"/>
          <w:lang w:val="es-ES"/>
        </w:rPr>
        <w:t xml:space="preserve"> el cual ratificó su respuesta; sin embargo, el recurrente utilizó la opción que permite el </w:t>
      </w:r>
      <w:r w:rsidR="00F940D3" w:rsidRPr="00F940D3">
        <w:rPr>
          <w:rFonts w:ascii="Palatino Linotype" w:eastAsia="Times New Roman" w:hAnsi="Palatino Linotype" w:cs="Arial"/>
          <w:sz w:val="24"/>
          <w:szCs w:val="24"/>
          <w:lang w:eastAsia="es-ES"/>
        </w:rPr>
        <w:t>Sistema de Acce</w:t>
      </w:r>
      <w:r w:rsidR="00F940D3">
        <w:rPr>
          <w:rFonts w:ascii="Palatino Linotype" w:eastAsia="Times New Roman" w:hAnsi="Palatino Linotype" w:cs="Arial"/>
          <w:sz w:val="24"/>
          <w:szCs w:val="24"/>
          <w:lang w:eastAsia="es-ES"/>
        </w:rPr>
        <w:t>so a la Información Mexiquense</w:t>
      </w:r>
      <w:r w:rsidR="00F940D3" w:rsidRPr="00F940D3">
        <w:rPr>
          <w:rFonts w:ascii="Palatino Linotype" w:eastAsia="Times New Roman" w:hAnsi="Palatino Linotype" w:cs="Arial"/>
          <w:b/>
          <w:sz w:val="24"/>
          <w:szCs w:val="24"/>
          <w:lang w:eastAsia="es-ES"/>
        </w:rPr>
        <w:t xml:space="preserve"> </w:t>
      </w:r>
      <w:r w:rsidR="00F940D3">
        <w:rPr>
          <w:rFonts w:ascii="Palatino Linotype" w:eastAsia="Times New Roman" w:hAnsi="Palatino Linotype" w:cs="Arial"/>
          <w:b/>
          <w:sz w:val="24"/>
          <w:szCs w:val="24"/>
          <w:lang w:eastAsia="es-ES"/>
        </w:rPr>
        <w:t>(</w:t>
      </w:r>
      <w:r w:rsidR="00F940D3" w:rsidRPr="00F940D3">
        <w:rPr>
          <w:rFonts w:ascii="Palatino Linotype" w:eastAsia="Times New Roman" w:hAnsi="Palatino Linotype" w:cs="Arial"/>
          <w:b/>
          <w:sz w:val="24"/>
          <w:szCs w:val="24"/>
          <w:lang w:eastAsia="es-ES"/>
        </w:rPr>
        <w:t>SAIMEX</w:t>
      </w:r>
      <w:r w:rsidR="00F940D3">
        <w:rPr>
          <w:rFonts w:ascii="Palatino Linotype" w:eastAsia="Times New Roman" w:hAnsi="Palatino Linotype" w:cs="Arial"/>
          <w:b/>
          <w:sz w:val="24"/>
          <w:szCs w:val="24"/>
          <w:lang w:eastAsia="es-ES"/>
        </w:rPr>
        <w:t>) del desistimiento.</w:t>
      </w:r>
    </w:p>
    <w:p w:rsidR="00F940D3" w:rsidRDefault="00F940D3" w:rsidP="00F940D3">
      <w:pPr>
        <w:pStyle w:val="Prrafodelista"/>
        <w:ind w:left="567" w:right="616"/>
        <w:rPr>
          <w:rFonts w:ascii="Palatino Linotype" w:hAnsi="Palatino Linotype" w:cs="Arial"/>
          <w:sz w:val="24"/>
          <w:szCs w:val="24"/>
          <w:lang w:val="es-ES"/>
        </w:rPr>
      </w:pPr>
      <w:r w:rsidRPr="00F940D3">
        <w:rPr>
          <w:rFonts w:ascii="Palatino Linotype" w:eastAsia="Times New Roman" w:hAnsi="Palatino Linotype" w:cs="Arial"/>
          <w:noProof/>
          <w:color w:val="000000"/>
          <w:sz w:val="24"/>
          <w:szCs w:val="24"/>
          <w:lang w:eastAsia="es-MX"/>
        </w:rPr>
        <w:drawing>
          <wp:inline distT="0" distB="0" distL="0" distR="0" wp14:anchorId="14594FBA" wp14:editId="41544AD7">
            <wp:extent cx="2620370" cy="361950"/>
            <wp:effectExtent l="0" t="0" r="889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1.PNG"/>
                    <pic:cNvPicPr/>
                  </pic:nvPicPr>
                  <pic:blipFill rotWithShape="1">
                    <a:blip r:embed="rId8">
                      <a:extLst>
                        <a:ext uri="{28A0092B-C50C-407E-A947-70E740481C1C}">
                          <a14:useLocalDpi xmlns:a14="http://schemas.microsoft.com/office/drawing/2010/main" val="0"/>
                        </a:ext>
                      </a:extLst>
                    </a:blip>
                    <a:srcRect r="51888"/>
                    <a:stretch/>
                  </pic:blipFill>
                  <pic:spPr bwMode="auto">
                    <a:xfrm>
                      <a:off x="0" y="0"/>
                      <a:ext cx="2620370" cy="361950"/>
                    </a:xfrm>
                    <a:prstGeom prst="rect">
                      <a:avLst/>
                    </a:prstGeom>
                    <a:ln>
                      <a:noFill/>
                    </a:ln>
                    <a:extLst>
                      <a:ext uri="{53640926-AAD7-44D8-BBD7-CCE9431645EC}">
                        <a14:shadowObscured xmlns:a14="http://schemas.microsoft.com/office/drawing/2010/main"/>
                      </a:ext>
                    </a:extLst>
                  </pic:spPr>
                </pic:pic>
              </a:graphicData>
            </a:graphic>
          </wp:inline>
        </w:drawing>
      </w:r>
      <w:r w:rsidR="00D71B83" w:rsidRPr="00D71B83">
        <w:rPr>
          <w:rFonts w:ascii="Palatino Linotype" w:eastAsia="Times New Roman" w:hAnsi="Palatino Linotype" w:cs="Arial"/>
          <w:noProof/>
          <w:color w:val="000000"/>
          <w:sz w:val="24"/>
          <w:szCs w:val="24"/>
          <w:lang w:eastAsia="es-MX"/>
        </w:rPr>
        <w:drawing>
          <wp:inline distT="0" distB="0" distL="0" distR="0" wp14:anchorId="4A9921F4" wp14:editId="6FB85F63">
            <wp:extent cx="2163170" cy="3631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1.PNG"/>
                    <pic:cNvPicPr/>
                  </pic:nvPicPr>
                  <pic:blipFill rotWithShape="1">
                    <a:blip r:embed="rId8">
                      <a:extLst>
                        <a:ext uri="{28A0092B-C50C-407E-A947-70E740481C1C}">
                          <a14:useLocalDpi xmlns:a14="http://schemas.microsoft.com/office/drawing/2010/main" val="0"/>
                        </a:ext>
                      </a:extLst>
                    </a:blip>
                    <a:srcRect l="72796"/>
                    <a:stretch/>
                  </pic:blipFill>
                  <pic:spPr bwMode="auto">
                    <a:xfrm>
                      <a:off x="0" y="0"/>
                      <a:ext cx="2163170" cy="363144"/>
                    </a:xfrm>
                    <a:prstGeom prst="rect">
                      <a:avLst/>
                    </a:prstGeom>
                    <a:ln>
                      <a:noFill/>
                    </a:ln>
                    <a:extLst>
                      <a:ext uri="{53640926-AAD7-44D8-BBD7-CCE9431645EC}">
                        <a14:shadowObscured xmlns:a14="http://schemas.microsoft.com/office/drawing/2010/main"/>
                      </a:ext>
                    </a:extLst>
                  </pic:spPr>
                </pic:pic>
              </a:graphicData>
            </a:graphic>
          </wp:inline>
        </w:drawing>
      </w:r>
    </w:p>
    <w:p w:rsidR="00F940D3" w:rsidRDefault="00F940D3" w:rsidP="00F940D3">
      <w:pPr>
        <w:pStyle w:val="Prrafodelista"/>
        <w:rPr>
          <w:rFonts w:ascii="Palatino Linotype" w:hAnsi="Palatino Linotype" w:cs="Arial"/>
          <w:sz w:val="24"/>
          <w:szCs w:val="24"/>
          <w:lang w:val="es-ES"/>
        </w:rPr>
      </w:pPr>
    </w:p>
    <w:p w:rsidR="00D71B83" w:rsidRDefault="00D71B83" w:rsidP="00D71B83">
      <w:pPr>
        <w:pStyle w:val="Prrafodelista"/>
        <w:widowControl w:val="0"/>
        <w:numPr>
          <w:ilvl w:val="0"/>
          <w:numId w:val="1"/>
        </w:numPr>
        <w:autoSpaceDE w:val="0"/>
        <w:autoSpaceDN w:val="0"/>
        <w:adjustRightInd w:val="0"/>
        <w:spacing w:line="360" w:lineRule="auto"/>
        <w:ind w:left="0" w:firstLine="0"/>
        <w:jc w:val="both"/>
        <w:rPr>
          <w:rFonts w:ascii="Palatino Linotype" w:eastAsia="Times New Roman" w:hAnsi="Palatino Linotype" w:cs="Arial"/>
          <w:sz w:val="24"/>
          <w:szCs w:val="24"/>
          <w:lang w:eastAsia="es-ES"/>
        </w:rPr>
      </w:pPr>
      <w:r w:rsidRPr="00D71B83">
        <w:rPr>
          <w:rFonts w:ascii="Palatino Linotype" w:hAnsi="Palatino Linotype" w:cs="Arial"/>
          <w:sz w:val="24"/>
          <w:szCs w:val="24"/>
          <w:lang w:val="es-ES"/>
        </w:rPr>
        <w:t xml:space="preserve">De lo anterior la Comisionada Ponente tuvo a bien </w:t>
      </w:r>
      <w:r w:rsidRPr="00D71B83">
        <w:rPr>
          <w:rFonts w:ascii="Palatino Linotype" w:eastAsia="Times New Roman" w:hAnsi="Palatino Linotype" w:cs="Arial"/>
          <w:color w:val="000000"/>
          <w:sz w:val="24"/>
          <w:szCs w:val="24"/>
          <w:lang w:eastAsia="es-MX"/>
        </w:rPr>
        <w:t>aclarar que</w:t>
      </w:r>
      <w:r w:rsidRPr="00D71B83">
        <w:rPr>
          <w:rFonts w:ascii="Palatino Linotype" w:eastAsia="Arial Unicode MS" w:hAnsi="Palatino Linotype" w:cs="Arial"/>
          <w:color w:val="000000"/>
          <w:sz w:val="24"/>
          <w:szCs w:val="24"/>
          <w:lang w:eastAsia="es-MX"/>
        </w:rPr>
        <w:t xml:space="preserve"> el desistimiento sólo pudo ser activado por </w:t>
      </w:r>
      <w:r w:rsidRPr="00D71B83">
        <w:rPr>
          <w:rFonts w:ascii="Palatino Linotype" w:eastAsia="Arial Unicode MS" w:hAnsi="Palatino Linotype" w:cs="Arial"/>
          <w:b/>
          <w:color w:val="000000"/>
          <w:sz w:val="24"/>
          <w:szCs w:val="24"/>
          <w:lang w:eastAsia="es-MX"/>
        </w:rPr>
        <w:t>LA</w:t>
      </w:r>
      <w:r w:rsidRPr="00D71B83">
        <w:rPr>
          <w:rFonts w:ascii="Palatino Linotype" w:eastAsia="Arial Unicode MS" w:hAnsi="Palatino Linotype" w:cs="Arial"/>
          <w:color w:val="000000"/>
          <w:sz w:val="24"/>
          <w:szCs w:val="24"/>
          <w:lang w:eastAsia="es-MX"/>
        </w:rPr>
        <w:t xml:space="preserve"> </w:t>
      </w:r>
      <w:r w:rsidRPr="00D71B83">
        <w:rPr>
          <w:rFonts w:ascii="Palatino Linotype" w:eastAsia="Arial Unicode MS" w:hAnsi="Palatino Linotype" w:cs="Arial"/>
          <w:b/>
          <w:color w:val="000000"/>
          <w:sz w:val="24"/>
          <w:szCs w:val="24"/>
          <w:lang w:eastAsia="es-MX"/>
        </w:rPr>
        <w:t>RECURRENTE</w:t>
      </w:r>
      <w:r w:rsidRPr="00D71B83">
        <w:rPr>
          <w:rFonts w:ascii="Palatino Linotype" w:eastAsia="Arial Unicode MS" w:hAnsi="Palatino Linotype" w:cs="Arial"/>
          <w:color w:val="000000"/>
          <w:sz w:val="24"/>
          <w:szCs w:val="24"/>
          <w:lang w:eastAsia="es-MX"/>
        </w:rPr>
        <w:t xml:space="preserve"> mediante el ingreso al </w:t>
      </w:r>
      <w:r w:rsidRPr="00D71B83">
        <w:rPr>
          <w:rFonts w:ascii="Palatino Linotype" w:eastAsia="Times New Roman" w:hAnsi="Palatino Linotype" w:cs="Arial"/>
          <w:sz w:val="24"/>
          <w:szCs w:val="24"/>
          <w:lang w:eastAsia="es-ES"/>
        </w:rPr>
        <w:t>Sistema</w:t>
      </w:r>
      <w:r w:rsidRPr="00D71B83">
        <w:rPr>
          <w:rFonts w:ascii="Palatino Linotype" w:eastAsia="Times New Roman" w:hAnsi="Palatino Linotype" w:cs="Times New Roman"/>
          <w:sz w:val="24"/>
          <w:szCs w:val="24"/>
          <w:lang w:eastAsia="es-ES"/>
        </w:rPr>
        <w:t xml:space="preserve"> de Acceso a la Información Mexiquense, mediante la utilización de </w:t>
      </w:r>
      <w:r w:rsidRPr="00D71B83">
        <w:rPr>
          <w:rFonts w:ascii="Palatino Linotype" w:eastAsia="Arial Unicode MS" w:hAnsi="Palatino Linotype" w:cs="Arial"/>
          <w:color w:val="000000"/>
          <w:sz w:val="24"/>
          <w:szCs w:val="24"/>
          <w:lang w:eastAsia="es-MX"/>
        </w:rPr>
        <w:t xml:space="preserve">su clave </w:t>
      </w:r>
      <w:r w:rsidRPr="00D71B83">
        <w:rPr>
          <w:rFonts w:ascii="Palatino Linotype" w:eastAsia="Arial Unicode MS" w:hAnsi="Palatino Linotype" w:cs="Arial"/>
          <w:color w:val="000000"/>
          <w:sz w:val="24"/>
          <w:szCs w:val="24"/>
          <w:lang w:eastAsia="es-MX"/>
        </w:rPr>
        <w:lastRenderedPageBreak/>
        <w:t xml:space="preserve">de usuario y contraseña, por lo que, no existe duda de que </w:t>
      </w:r>
      <w:r w:rsidRPr="00D71B83">
        <w:rPr>
          <w:rFonts w:ascii="Palatino Linotype" w:eastAsia="Times New Roman" w:hAnsi="Palatino Linotype" w:cs="Arial"/>
          <w:sz w:val="24"/>
          <w:szCs w:val="24"/>
          <w:lang w:val="es-ES_tradnl" w:eastAsia="es-ES"/>
        </w:rPr>
        <w:t>se</w:t>
      </w:r>
      <w:r w:rsidRPr="00D71B83">
        <w:rPr>
          <w:rFonts w:ascii="Palatino Linotype" w:eastAsia="Arial Unicode MS" w:hAnsi="Palatino Linotype" w:cs="Arial"/>
          <w:color w:val="000000"/>
          <w:sz w:val="24"/>
          <w:szCs w:val="24"/>
          <w:lang w:eastAsia="es-MX"/>
        </w:rPr>
        <w:t xml:space="preserve"> </w:t>
      </w:r>
      <w:r w:rsidRPr="00D71B83">
        <w:rPr>
          <w:rFonts w:ascii="Palatino Linotype" w:eastAsia="Times New Roman" w:hAnsi="Palatino Linotype" w:cs="Times New Roman"/>
          <w:sz w:val="24"/>
          <w:szCs w:val="24"/>
          <w:lang w:eastAsia="es-ES"/>
        </w:rPr>
        <w:t>trata</w:t>
      </w:r>
      <w:r w:rsidRPr="00D71B83">
        <w:rPr>
          <w:rFonts w:ascii="Palatino Linotype" w:eastAsia="Arial Unicode MS" w:hAnsi="Palatino Linotype" w:cs="Arial"/>
          <w:color w:val="000000"/>
          <w:sz w:val="24"/>
          <w:szCs w:val="24"/>
          <w:lang w:eastAsia="es-MX"/>
        </w:rPr>
        <w:t xml:space="preserve"> de un </w:t>
      </w:r>
      <w:r w:rsidRPr="00D71B83">
        <w:rPr>
          <w:rFonts w:ascii="Palatino Linotype" w:eastAsia="Arial Unicode MS" w:hAnsi="Palatino Linotype" w:cs="Arial"/>
          <w:b/>
          <w:color w:val="000000"/>
          <w:sz w:val="24"/>
          <w:szCs w:val="24"/>
          <w:lang w:eastAsia="es-MX"/>
        </w:rPr>
        <w:t>desistimiento expreso</w:t>
      </w:r>
      <w:r w:rsidRPr="00D71B83">
        <w:rPr>
          <w:rFonts w:ascii="Palatino Linotype" w:eastAsia="Arial Unicode MS" w:hAnsi="Palatino Linotype" w:cs="Arial"/>
          <w:color w:val="000000"/>
          <w:sz w:val="24"/>
          <w:szCs w:val="24"/>
          <w:lang w:eastAsia="es-MX"/>
        </w:rPr>
        <w:t xml:space="preserve">, por parte de </w:t>
      </w:r>
      <w:r w:rsidRPr="00D71B83">
        <w:rPr>
          <w:rFonts w:ascii="Palatino Linotype" w:eastAsia="Arial Unicode MS" w:hAnsi="Palatino Linotype" w:cs="Arial"/>
          <w:b/>
          <w:color w:val="000000"/>
          <w:sz w:val="24"/>
          <w:szCs w:val="24"/>
          <w:lang w:eastAsia="es-MX"/>
        </w:rPr>
        <w:t>LA</w:t>
      </w:r>
      <w:r w:rsidRPr="00D71B83">
        <w:rPr>
          <w:rFonts w:ascii="Palatino Linotype" w:eastAsia="Arial Unicode MS" w:hAnsi="Palatino Linotype" w:cs="Arial"/>
          <w:color w:val="000000"/>
          <w:sz w:val="24"/>
          <w:szCs w:val="24"/>
          <w:lang w:eastAsia="es-MX"/>
        </w:rPr>
        <w:t xml:space="preserve"> </w:t>
      </w:r>
      <w:r w:rsidRPr="00D71B83">
        <w:rPr>
          <w:rFonts w:ascii="Palatino Linotype" w:eastAsia="Arial Unicode MS" w:hAnsi="Palatino Linotype" w:cs="Arial"/>
          <w:b/>
          <w:color w:val="000000"/>
          <w:sz w:val="24"/>
          <w:szCs w:val="24"/>
          <w:lang w:eastAsia="es-MX"/>
        </w:rPr>
        <w:t>RECURRENTE</w:t>
      </w:r>
      <w:r w:rsidRPr="00D71B83">
        <w:rPr>
          <w:rFonts w:ascii="Palatino Linotype" w:eastAsia="Times New Roman" w:hAnsi="Palatino Linotype" w:cs="Arial"/>
          <w:sz w:val="24"/>
          <w:szCs w:val="24"/>
          <w:lang w:eastAsia="es-ES"/>
        </w:rPr>
        <w:t>.</w:t>
      </w:r>
    </w:p>
    <w:p w:rsidR="00D71B83" w:rsidRDefault="00D71B83" w:rsidP="00D71B83">
      <w:pPr>
        <w:pStyle w:val="Prrafodelista"/>
        <w:widowControl w:val="0"/>
        <w:autoSpaceDE w:val="0"/>
        <w:autoSpaceDN w:val="0"/>
        <w:adjustRightInd w:val="0"/>
        <w:spacing w:line="360" w:lineRule="auto"/>
        <w:ind w:left="0"/>
        <w:jc w:val="both"/>
        <w:rPr>
          <w:rFonts w:ascii="Palatino Linotype" w:eastAsia="Times New Roman" w:hAnsi="Palatino Linotype" w:cs="Arial"/>
          <w:sz w:val="24"/>
          <w:szCs w:val="24"/>
          <w:lang w:eastAsia="es-ES"/>
        </w:rPr>
      </w:pPr>
    </w:p>
    <w:p w:rsidR="00D71B83" w:rsidRPr="00D71B83" w:rsidRDefault="00D71B83" w:rsidP="00D71B83">
      <w:pPr>
        <w:pStyle w:val="Prrafodelista"/>
        <w:widowControl w:val="0"/>
        <w:numPr>
          <w:ilvl w:val="0"/>
          <w:numId w:val="1"/>
        </w:numPr>
        <w:autoSpaceDE w:val="0"/>
        <w:autoSpaceDN w:val="0"/>
        <w:adjustRightInd w:val="0"/>
        <w:spacing w:line="360" w:lineRule="auto"/>
        <w:ind w:left="0" w:firstLine="0"/>
        <w:jc w:val="both"/>
        <w:rPr>
          <w:rFonts w:ascii="Palatino Linotype" w:eastAsia="Times New Roman" w:hAnsi="Palatino Linotype" w:cs="Arial"/>
          <w:sz w:val="24"/>
          <w:szCs w:val="24"/>
          <w:lang w:eastAsia="es-ES"/>
        </w:rPr>
      </w:pPr>
      <w:r w:rsidRPr="00D71B83">
        <w:rPr>
          <w:rFonts w:ascii="Palatino Linotype" w:eastAsia="Times New Roman" w:hAnsi="Palatino Linotype" w:cs="Arial"/>
          <w:sz w:val="24"/>
          <w:szCs w:val="24"/>
          <w:lang w:eastAsia="es-ES"/>
        </w:rPr>
        <w:t xml:space="preserve">Asimismo argumento que la definición de </w:t>
      </w:r>
      <w:r w:rsidRPr="00D71B83">
        <w:rPr>
          <w:rFonts w:ascii="Palatino Linotype" w:eastAsia="Times New Roman" w:hAnsi="Palatino Linotype" w:cs="Times New Roman"/>
          <w:sz w:val="24"/>
          <w:szCs w:val="24"/>
          <w:lang w:eastAsia="es-ES"/>
        </w:rPr>
        <w:t>la palabra desistir como abdicar o abandonar un derecho o una acción procesal, tal y como lo señala el Diccionario de la Lengua Española</w:t>
      </w:r>
      <w:r w:rsidRPr="00D71B83">
        <w:rPr>
          <w:rFonts w:cs="Times New Roman"/>
          <w:vertAlign w:val="superscript"/>
          <w:lang w:eastAsia="es-ES"/>
        </w:rPr>
        <w:footnoteReference w:id="1"/>
      </w:r>
      <w:r w:rsidRPr="00D71B83">
        <w:rPr>
          <w:rFonts w:ascii="Palatino Linotype" w:eastAsia="Times New Roman" w:hAnsi="Palatino Linotype" w:cs="Times New Roman"/>
          <w:sz w:val="24"/>
          <w:szCs w:val="24"/>
          <w:lang w:eastAsia="es-ES"/>
        </w:rPr>
        <w:t>. Y precisó que en materia procesal, el desistimiento debe entenderse, de conformidad con el tratadista Cipriano Gómez Lara</w:t>
      </w:r>
      <w:r w:rsidRPr="00D71B83">
        <w:rPr>
          <w:rFonts w:cs="Times New Roman"/>
          <w:vertAlign w:val="superscript"/>
          <w:lang w:eastAsia="es-ES"/>
        </w:rPr>
        <w:footnoteReference w:id="2"/>
      </w:r>
      <w:r w:rsidRPr="00D71B83">
        <w:rPr>
          <w:rFonts w:ascii="Palatino Linotype" w:eastAsia="Times New Roman" w:hAnsi="Palatino Linotype" w:cs="Times New Roman"/>
          <w:sz w:val="24"/>
          <w:szCs w:val="24"/>
          <w:lang w:eastAsia="es-ES"/>
        </w:rPr>
        <w:t xml:space="preserve">, </w:t>
      </w:r>
      <w:r w:rsidRPr="00D71B83">
        <w:rPr>
          <w:rFonts w:ascii="Palatino Linotype" w:eastAsia="Times New Roman" w:hAnsi="Palatino Linotype" w:cs="Times New Roman"/>
          <w:sz w:val="24"/>
          <w:szCs w:val="24"/>
          <w:lang w:val="es-ES" w:eastAsia="es-ES"/>
        </w:rPr>
        <w:t>como una renuncia procesal de derechos o de pretensiones; mismo del cual, a su decir, existen tres tipos a saber</w:t>
      </w:r>
      <w:r w:rsidRPr="00D71B83">
        <w:rPr>
          <w:rFonts w:cs="Times New Roman"/>
          <w:vertAlign w:val="superscript"/>
          <w:lang w:val="es-ES" w:eastAsia="es-ES"/>
        </w:rPr>
        <w:footnoteReference w:id="3"/>
      </w:r>
      <w:r w:rsidRPr="00D71B83">
        <w:rPr>
          <w:rFonts w:ascii="Palatino Linotype" w:eastAsia="Times New Roman" w:hAnsi="Palatino Linotype" w:cs="Times New Roman"/>
          <w:sz w:val="24"/>
          <w:szCs w:val="24"/>
          <w:lang w:val="es-ES" w:eastAsia="es-ES"/>
        </w:rPr>
        <w:t>:</w:t>
      </w:r>
    </w:p>
    <w:p w:rsidR="00D71B83" w:rsidRPr="00D71B83" w:rsidRDefault="00D71B83" w:rsidP="00D71B83">
      <w:pPr>
        <w:widowControl w:val="0"/>
        <w:autoSpaceDE w:val="0"/>
        <w:autoSpaceDN w:val="0"/>
        <w:adjustRightInd w:val="0"/>
        <w:spacing w:after="0" w:line="360" w:lineRule="auto"/>
        <w:jc w:val="both"/>
        <w:rPr>
          <w:rFonts w:ascii="Palatino Linotype" w:eastAsia="Times New Roman" w:hAnsi="Palatino Linotype" w:cs="Arial"/>
          <w:sz w:val="24"/>
          <w:szCs w:val="24"/>
          <w:lang w:eastAsia="es-ES"/>
        </w:rPr>
      </w:pPr>
    </w:p>
    <w:p w:rsidR="00D71B83" w:rsidRPr="00D71B83" w:rsidRDefault="00D71B83" w:rsidP="00D71B83">
      <w:pPr>
        <w:numPr>
          <w:ilvl w:val="0"/>
          <w:numId w:val="3"/>
        </w:numPr>
        <w:spacing w:after="0" w:line="360" w:lineRule="auto"/>
        <w:ind w:left="567"/>
        <w:jc w:val="both"/>
        <w:rPr>
          <w:rFonts w:ascii="Palatino Linotype" w:eastAsia="Times New Roman" w:hAnsi="Palatino Linotype" w:cs="Times New Roman"/>
          <w:sz w:val="24"/>
          <w:szCs w:val="24"/>
          <w:lang w:eastAsia="es-ES"/>
        </w:rPr>
      </w:pPr>
      <w:r w:rsidRPr="00D71B83">
        <w:rPr>
          <w:rFonts w:ascii="Palatino Linotype" w:eastAsia="Times New Roman" w:hAnsi="Palatino Linotype" w:cs="Times New Roman"/>
          <w:b/>
          <w:sz w:val="24"/>
          <w:szCs w:val="24"/>
          <w:lang w:eastAsia="es-ES"/>
        </w:rPr>
        <w:t>De la demanda:</w:t>
      </w:r>
      <w:r w:rsidRPr="00D71B83">
        <w:rPr>
          <w:rFonts w:ascii="Palatino Linotype" w:eastAsia="Times New Roman" w:hAnsi="Palatino Linotype" w:cs="Times New Roman"/>
          <w:sz w:val="24"/>
          <w:szCs w:val="24"/>
          <w:lang w:eastAsia="es-ES"/>
        </w:rPr>
        <w:t xml:space="preserve"> </w:t>
      </w:r>
      <w:r w:rsidRPr="00D71B83">
        <w:rPr>
          <w:rFonts w:ascii="Palatino Linotype" w:eastAsia="Times New Roman" w:hAnsi="Palatino Linotype" w:cs="Times New Roman"/>
          <w:sz w:val="24"/>
          <w:szCs w:val="24"/>
          <w:lang w:val="es-ES" w:eastAsia="es-ES"/>
        </w:rPr>
        <w:t>cuando el actor decide claudicar en su propósito de demandar al deudor, antes de haber sido emplazado a juicio.</w:t>
      </w:r>
    </w:p>
    <w:p w:rsidR="00D71B83" w:rsidRPr="00D71B83" w:rsidRDefault="00D71B83" w:rsidP="00D71B83">
      <w:pPr>
        <w:spacing w:after="0" w:line="360" w:lineRule="auto"/>
        <w:ind w:left="567"/>
        <w:jc w:val="both"/>
        <w:rPr>
          <w:rFonts w:ascii="Palatino Linotype" w:eastAsia="Times New Roman" w:hAnsi="Palatino Linotype" w:cs="Times New Roman"/>
          <w:sz w:val="24"/>
          <w:szCs w:val="24"/>
          <w:lang w:eastAsia="es-ES"/>
        </w:rPr>
      </w:pPr>
    </w:p>
    <w:p w:rsidR="00D71B83" w:rsidRPr="00D71B83" w:rsidRDefault="00D71B83" w:rsidP="00D71B83">
      <w:pPr>
        <w:numPr>
          <w:ilvl w:val="0"/>
          <w:numId w:val="3"/>
        </w:numPr>
        <w:spacing w:after="0" w:line="360" w:lineRule="auto"/>
        <w:ind w:left="567"/>
        <w:jc w:val="both"/>
        <w:rPr>
          <w:rFonts w:ascii="Palatino Linotype" w:eastAsia="Times New Roman" w:hAnsi="Palatino Linotype" w:cs="Times New Roman"/>
          <w:sz w:val="24"/>
          <w:szCs w:val="24"/>
          <w:lang w:eastAsia="es-ES"/>
        </w:rPr>
      </w:pPr>
      <w:r w:rsidRPr="00D71B83">
        <w:rPr>
          <w:rFonts w:ascii="Palatino Linotype" w:eastAsia="Times New Roman" w:hAnsi="Palatino Linotype" w:cs="Times New Roman"/>
          <w:b/>
          <w:sz w:val="24"/>
          <w:szCs w:val="24"/>
          <w:lang w:eastAsia="es-ES"/>
        </w:rPr>
        <w:t>De la instancia:</w:t>
      </w:r>
      <w:r w:rsidRPr="00D71B83">
        <w:rPr>
          <w:rFonts w:ascii="Palatino Linotype" w:eastAsia="Times New Roman" w:hAnsi="Palatino Linotype" w:cs="Times New Roman"/>
          <w:sz w:val="24"/>
          <w:szCs w:val="24"/>
          <w:lang w:eastAsia="es-ES"/>
        </w:rPr>
        <w:t xml:space="preserve"> </w:t>
      </w:r>
      <w:r w:rsidRPr="00D71B83">
        <w:rPr>
          <w:rFonts w:ascii="Palatino Linotype" w:eastAsia="Times New Roman" w:hAnsi="Palatino Linotype" w:cs="Times New Roman"/>
          <w:sz w:val="24"/>
          <w:szCs w:val="24"/>
          <w:lang w:val="es-ES" w:eastAsia="es-ES"/>
        </w:rPr>
        <w:t>implica que se haya iniciado el juicio, se llame al demandado a través del emplazamiento y, antes de concluir el mismo, si el actor decide abandonar la instancia judicial, se pedirá el consentimiento del demandado para tal efecto. Si el demandado está de acuerdo, se concluye con la instancia; en caso de oposición, el juez decide si se prosigue con el juicio o se tiene al actor por desistido de la instancia.</w:t>
      </w:r>
    </w:p>
    <w:p w:rsidR="00D71B83" w:rsidRPr="00D71B83" w:rsidRDefault="00D71B83" w:rsidP="00D71B83">
      <w:pPr>
        <w:spacing w:after="0" w:line="360" w:lineRule="auto"/>
        <w:ind w:left="720"/>
        <w:contextualSpacing/>
        <w:rPr>
          <w:rFonts w:ascii="Palatino Linotype" w:eastAsia="Times New Roman" w:hAnsi="Palatino Linotype" w:cs="Times New Roman"/>
          <w:sz w:val="24"/>
          <w:szCs w:val="24"/>
          <w:lang w:eastAsia="es-ES"/>
        </w:rPr>
      </w:pPr>
    </w:p>
    <w:p w:rsidR="00D71B83" w:rsidRPr="00D71B83" w:rsidRDefault="00D71B83" w:rsidP="00D71B83">
      <w:pPr>
        <w:numPr>
          <w:ilvl w:val="0"/>
          <w:numId w:val="3"/>
        </w:numPr>
        <w:spacing w:after="0" w:line="360" w:lineRule="auto"/>
        <w:ind w:left="567"/>
        <w:jc w:val="both"/>
        <w:rPr>
          <w:rFonts w:ascii="Palatino Linotype" w:eastAsia="Times New Roman" w:hAnsi="Palatino Linotype" w:cs="Times New Roman"/>
          <w:sz w:val="24"/>
          <w:szCs w:val="24"/>
          <w:lang w:eastAsia="es-ES"/>
        </w:rPr>
      </w:pPr>
      <w:r w:rsidRPr="00D71B83">
        <w:rPr>
          <w:rFonts w:ascii="Palatino Linotype" w:eastAsia="Times New Roman" w:hAnsi="Palatino Linotype" w:cs="Times New Roman"/>
          <w:b/>
          <w:sz w:val="24"/>
          <w:szCs w:val="24"/>
          <w:lang w:eastAsia="es-ES"/>
        </w:rPr>
        <w:lastRenderedPageBreak/>
        <w:t>De la acción:</w:t>
      </w:r>
      <w:r w:rsidRPr="00D71B83">
        <w:rPr>
          <w:rFonts w:ascii="Palatino Linotype" w:eastAsia="Times New Roman" w:hAnsi="Palatino Linotype" w:cs="Times New Roman"/>
          <w:sz w:val="24"/>
          <w:szCs w:val="24"/>
          <w:lang w:eastAsia="es-ES"/>
        </w:rPr>
        <w:t xml:space="preserve"> </w:t>
      </w:r>
      <w:r w:rsidRPr="00D71B83">
        <w:rPr>
          <w:rFonts w:ascii="Palatino Linotype" w:eastAsia="Times New Roman" w:hAnsi="Palatino Linotype" w:cs="Times New Roman"/>
          <w:sz w:val="24"/>
          <w:szCs w:val="24"/>
          <w:lang w:val="es-ES" w:eastAsia="es-ES"/>
        </w:rPr>
        <w:t>implica el perdón del actor hacia el demandado, es decir, la renuncia de los derechos que pudiera ejercer sobre el demandado; no necesita el consentimiento de éste, sino que el juez ordenará al actor la ratificación de tal determinación, a fin de estar plenamente seguro de que ésa es la voluntad del actor.</w:t>
      </w:r>
    </w:p>
    <w:p w:rsidR="00D71B83" w:rsidRPr="00D71B83" w:rsidRDefault="00D71B83" w:rsidP="00D71B83">
      <w:pPr>
        <w:widowControl w:val="0"/>
        <w:autoSpaceDE w:val="0"/>
        <w:autoSpaceDN w:val="0"/>
        <w:adjustRightInd w:val="0"/>
        <w:spacing w:after="0" w:line="360" w:lineRule="auto"/>
        <w:jc w:val="both"/>
        <w:rPr>
          <w:rFonts w:ascii="Palatino Linotype" w:eastAsia="Times New Roman" w:hAnsi="Palatino Linotype" w:cs="Arial"/>
          <w:sz w:val="24"/>
          <w:szCs w:val="24"/>
          <w:lang w:eastAsia="es-ES"/>
        </w:rPr>
      </w:pPr>
    </w:p>
    <w:p w:rsidR="00D71B83" w:rsidRPr="00D71B83" w:rsidRDefault="00D71B83" w:rsidP="00D71B83">
      <w:pPr>
        <w:pStyle w:val="Prrafodelista"/>
        <w:widowControl w:val="0"/>
        <w:numPr>
          <w:ilvl w:val="0"/>
          <w:numId w:val="1"/>
        </w:numPr>
        <w:autoSpaceDE w:val="0"/>
        <w:autoSpaceDN w:val="0"/>
        <w:adjustRightInd w:val="0"/>
        <w:spacing w:after="0" w:line="360" w:lineRule="auto"/>
        <w:ind w:left="0" w:firstLine="0"/>
        <w:jc w:val="both"/>
        <w:rPr>
          <w:rFonts w:ascii="Palatino Linotype" w:eastAsia="Times New Roman" w:hAnsi="Palatino Linotype" w:cs="Arial"/>
          <w:sz w:val="24"/>
          <w:szCs w:val="24"/>
          <w:lang w:eastAsia="es-ES"/>
        </w:rPr>
      </w:pPr>
      <w:r w:rsidRPr="00D71B83">
        <w:rPr>
          <w:rFonts w:ascii="Palatino Linotype" w:eastAsia="Times New Roman" w:hAnsi="Palatino Linotype" w:cs="Times New Roman"/>
          <w:sz w:val="24"/>
          <w:szCs w:val="24"/>
          <w:lang w:eastAsia="es-ES"/>
        </w:rPr>
        <w:t>Como apoyo de lo anterior, se cita la Tesis 211360. Tribunales Colegiados de Circuito. Octava Época. Semanario Judicial de la Federación. Tomo XIV, Julio de 1994, Pág. 547</w:t>
      </w:r>
      <w:r w:rsidRPr="00D71B83">
        <w:rPr>
          <w:rFonts w:ascii="Palatino Linotype" w:eastAsia="Times New Roman" w:hAnsi="Palatino Linotype" w:cs="Arial"/>
          <w:sz w:val="24"/>
          <w:szCs w:val="24"/>
          <w:lang w:eastAsia="es-ES"/>
        </w:rPr>
        <w:t xml:space="preserve">, la cual refiere lo siguiente: </w:t>
      </w:r>
    </w:p>
    <w:p w:rsidR="00D71B83" w:rsidRPr="00D71B83" w:rsidRDefault="00D71B83" w:rsidP="00D71B83">
      <w:pPr>
        <w:widowControl w:val="0"/>
        <w:autoSpaceDE w:val="0"/>
        <w:autoSpaceDN w:val="0"/>
        <w:adjustRightInd w:val="0"/>
        <w:spacing w:after="0" w:line="240" w:lineRule="auto"/>
        <w:jc w:val="both"/>
        <w:rPr>
          <w:rFonts w:ascii="Palatino Linotype" w:eastAsia="Times New Roman" w:hAnsi="Palatino Linotype" w:cs="Arial"/>
          <w:sz w:val="24"/>
          <w:szCs w:val="24"/>
          <w:lang w:eastAsia="es-ES"/>
        </w:rPr>
      </w:pPr>
    </w:p>
    <w:p w:rsidR="00D71B83" w:rsidRPr="00D71B83" w:rsidRDefault="00D71B83" w:rsidP="00D71B83">
      <w:pPr>
        <w:tabs>
          <w:tab w:val="left" w:pos="1134"/>
        </w:tabs>
        <w:spacing w:after="0" w:line="240" w:lineRule="auto"/>
        <w:ind w:left="567" w:right="616"/>
        <w:jc w:val="both"/>
        <w:rPr>
          <w:rFonts w:ascii="Palatino Linotype" w:eastAsia="Times New Roman" w:hAnsi="Palatino Linotype" w:cs="Arial"/>
          <w:i/>
          <w:szCs w:val="24"/>
          <w:lang w:eastAsia="es-ES"/>
        </w:rPr>
      </w:pPr>
      <w:r w:rsidRPr="00D71B83">
        <w:rPr>
          <w:rFonts w:ascii="Palatino Linotype" w:eastAsia="Times New Roman" w:hAnsi="Palatino Linotype" w:cs="Arial"/>
          <w:b/>
          <w:i/>
          <w:szCs w:val="24"/>
          <w:lang w:eastAsia="es-ES"/>
        </w:rPr>
        <w:t xml:space="preserve">“DESISTIMIENTOS DE LA ACCION Y DE LA DEMANDA. DIFERENCIAS. </w:t>
      </w:r>
      <w:r w:rsidRPr="00D71B83">
        <w:rPr>
          <w:rFonts w:ascii="Palatino Linotype" w:eastAsia="Times New Roman" w:hAnsi="Palatino Linotype" w:cs="Arial"/>
          <w:i/>
          <w:szCs w:val="24"/>
          <w:lang w:eastAsia="es-ES"/>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rsidR="00D71B83" w:rsidRPr="00D71B83" w:rsidRDefault="00D71B83" w:rsidP="00D71B83">
      <w:pPr>
        <w:tabs>
          <w:tab w:val="left" w:pos="1134"/>
        </w:tabs>
        <w:spacing w:after="0" w:line="240" w:lineRule="auto"/>
        <w:ind w:left="567" w:right="901"/>
        <w:jc w:val="both"/>
        <w:rPr>
          <w:rFonts w:ascii="Palatino Linotype" w:eastAsia="Times New Roman" w:hAnsi="Palatino Linotype" w:cs="Arial"/>
          <w:i/>
          <w:szCs w:val="24"/>
          <w:lang w:eastAsia="es-ES"/>
        </w:rPr>
      </w:pPr>
      <w:r w:rsidRPr="00D71B83">
        <w:rPr>
          <w:rFonts w:ascii="Palatino Linotype" w:eastAsia="Times New Roman" w:hAnsi="Palatino Linotype" w:cs="Arial"/>
          <w:i/>
          <w:szCs w:val="24"/>
          <w:lang w:eastAsia="es-ES"/>
        </w:rPr>
        <w:t xml:space="preserve">SEGUNDO TRIBUNAL COLEGIADO DEL SEXTO CIRCUITO. </w:t>
      </w:r>
    </w:p>
    <w:p w:rsidR="00D71B83" w:rsidRPr="00D71B83" w:rsidRDefault="00D71B83" w:rsidP="00D71B83">
      <w:pPr>
        <w:tabs>
          <w:tab w:val="left" w:pos="993"/>
        </w:tabs>
        <w:spacing w:after="0" w:line="240" w:lineRule="auto"/>
        <w:ind w:left="567" w:right="616"/>
        <w:jc w:val="both"/>
        <w:rPr>
          <w:rFonts w:ascii="Palatino Linotype" w:eastAsia="Times New Roman" w:hAnsi="Palatino Linotype" w:cs="Arial"/>
          <w:i/>
          <w:szCs w:val="24"/>
          <w:lang w:eastAsia="es-ES"/>
        </w:rPr>
      </w:pPr>
      <w:r w:rsidRPr="00D71B83">
        <w:rPr>
          <w:rFonts w:ascii="Palatino Linotype" w:eastAsia="Times New Roman" w:hAnsi="Palatino Linotype" w:cs="Arial"/>
          <w:i/>
          <w:szCs w:val="24"/>
          <w:lang w:eastAsia="es-ES"/>
        </w:rPr>
        <w:t xml:space="preserve">Amparo directo 240/93. Instituto Mexicano del Seguro Social, Delegación Estatal en Tlaxcala. 4 de julio de 1993. Unanimidad de votos. Ponente: José Galván Rojas. Secretario: Vicente Martínez Sánchez. </w:t>
      </w:r>
    </w:p>
    <w:p w:rsidR="00D71B83" w:rsidRPr="00D71B83" w:rsidRDefault="00D71B83" w:rsidP="00D71B83">
      <w:pPr>
        <w:tabs>
          <w:tab w:val="left" w:pos="993"/>
        </w:tabs>
        <w:spacing w:after="0" w:line="240" w:lineRule="auto"/>
        <w:ind w:left="567" w:right="616"/>
        <w:jc w:val="both"/>
        <w:rPr>
          <w:rFonts w:ascii="Palatino Linotype" w:eastAsia="Times New Roman" w:hAnsi="Palatino Linotype" w:cs="Arial"/>
          <w:i/>
          <w:szCs w:val="24"/>
          <w:lang w:eastAsia="es-ES"/>
        </w:rPr>
      </w:pPr>
      <w:r w:rsidRPr="00D71B83">
        <w:rPr>
          <w:rFonts w:ascii="Palatino Linotype" w:eastAsia="Times New Roman" w:hAnsi="Palatino Linotype" w:cs="Arial"/>
          <w:i/>
          <w:szCs w:val="24"/>
          <w:lang w:eastAsia="es-ES"/>
        </w:rPr>
        <w:t>Amparo directo 329/92. Jaime Vera López. 1o. de septiembre de 1992. Unanimidad de votos. Ponente: José Galván Rojas. Secretario: Armando Cortés Galván.”</w:t>
      </w:r>
    </w:p>
    <w:p w:rsidR="00D71B83" w:rsidRPr="00D71B83" w:rsidRDefault="00D71B83" w:rsidP="00D71B83">
      <w:pPr>
        <w:pStyle w:val="Prrafodelista"/>
        <w:widowControl w:val="0"/>
        <w:autoSpaceDE w:val="0"/>
        <w:autoSpaceDN w:val="0"/>
        <w:adjustRightInd w:val="0"/>
        <w:spacing w:line="360" w:lineRule="auto"/>
        <w:ind w:left="0"/>
        <w:jc w:val="both"/>
        <w:rPr>
          <w:rFonts w:ascii="Palatino Linotype" w:eastAsia="Times New Roman" w:hAnsi="Palatino Linotype" w:cs="Arial"/>
          <w:sz w:val="24"/>
          <w:szCs w:val="24"/>
          <w:lang w:eastAsia="es-ES"/>
        </w:rPr>
      </w:pPr>
    </w:p>
    <w:p w:rsidR="00D71B83" w:rsidRPr="00D71B83" w:rsidRDefault="00D71B83" w:rsidP="00D71B83">
      <w:pPr>
        <w:pStyle w:val="Prrafodelista"/>
        <w:widowControl w:val="0"/>
        <w:numPr>
          <w:ilvl w:val="0"/>
          <w:numId w:val="1"/>
        </w:numPr>
        <w:autoSpaceDE w:val="0"/>
        <w:autoSpaceDN w:val="0"/>
        <w:adjustRightInd w:val="0"/>
        <w:spacing w:line="360" w:lineRule="auto"/>
        <w:ind w:left="0" w:firstLine="0"/>
        <w:jc w:val="both"/>
        <w:rPr>
          <w:rFonts w:ascii="Palatino Linotype" w:eastAsia="Times New Roman" w:hAnsi="Palatino Linotype" w:cs="Times New Roman"/>
          <w:color w:val="000000"/>
          <w:sz w:val="24"/>
          <w:szCs w:val="24"/>
          <w:lang w:eastAsia="es-ES"/>
        </w:rPr>
      </w:pPr>
      <w:r w:rsidRPr="00D71B83">
        <w:rPr>
          <w:rFonts w:ascii="Palatino Linotype" w:eastAsia="Times New Roman" w:hAnsi="Palatino Linotype" w:cs="Arial"/>
          <w:sz w:val="24"/>
          <w:szCs w:val="24"/>
          <w:lang w:eastAsia="es-ES"/>
        </w:rPr>
        <w:t xml:space="preserve">Luego entonces la Ponencia </w:t>
      </w:r>
      <w:proofErr w:type="spellStart"/>
      <w:r w:rsidRPr="00D71B83">
        <w:rPr>
          <w:rFonts w:ascii="Palatino Linotype" w:eastAsia="Times New Roman" w:hAnsi="Palatino Linotype" w:cs="Arial"/>
          <w:sz w:val="24"/>
          <w:szCs w:val="24"/>
          <w:lang w:eastAsia="es-ES"/>
        </w:rPr>
        <w:t>Resolutora</w:t>
      </w:r>
      <w:proofErr w:type="spellEnd"/>
      <w:r w:rsidRPr="00D71B83">
        <w:rPr>
          <w:rFonts w:ascii="Palatino Linotype" w:eastAsia="Times New Roman" w:hAnsi="Palatino Linotype" w:cs="Arial"/>
          <w:sz w:val="24"/>
          <w:szCs w:val="24"/>
          <w:lang w:eastAsia="es-ES"/>
        </w:rPr>
        <w:t xml:space="preserve"> determinó que el asunto a resolver </w:t>
      </w:r>
      <w:r w:rsidRPr="00D71B83">
        <w:rPr>
          <w:rFonts w:ascii="Palatino Linotype" w:eastAsia="Times New Roman" w:hAnsi="Palatino Linotype" w:cs="Times New Roman"/>
          <w:color w:val="000000"/>
          <w:sz w:val="24"/>
          <w:szCs w:val="24"/>
          <w:lang w:eastAsia="es-ES"/>
        </w:rPr>
        <w:t xml:space="preserve">se actualiza la hipótesis prevista en </w:t>
      </w:r>
      <w:r w:rsidRPr="00D71B83">
        <w:rPr>
          <w:rFonts w:ascii="Palatino Linotype" w:eastAsia="Times New Roman" w:hAnsi="Palatino Linotype" w:cs="Arial"/>
          <w:sz w:val="24"/>
          <w:szCs w:val="24"/>
          <w:lang w:val="es-ES_tradnl" w:eastAsia="es-ES"/>
        </w:rPr>
        <w:t xml:space="preserve">el </w:t>
      </w:r>
      <w:r w:rsidRPr="00D71B83">
        <w:rPr>
          <w:rFonts w:ascii="Palatino Linotype" w:eastAsia="Times New Roman" w:hAnsi="Palatino Linotype" w:cs="Times New Roman"/>
          <w:color w:val="000000"/>
          <w:sz w:val="24"/>
          <w:szCs w:val="24"/>
          <w:lang w:eastAsia="es-ES"/>
        </w:rPr>
        <w:t>artículo 192, fracción I, de</w:t>
      </w:r>
      <w:r w:rsidRPr="00D71B83">
        <w:rPr>
          <w:rFonts w:ascii="Palatino Linotype" w:eastAsia="Times New Roman" w:hAnsi="Palatino Linotype" w:cs="Arial"/>
          <w:sz w:val="24"/>
          <w:szCs w:val="24"/>
          <w:lang w:val="es-ES_tradnl" w:eastAsia="es-ES"/>
        </w:rPr>
        <w:t xml:space="preserve"> la </w:t>
      </w:r>
      <w:r w:rsidRPr="00D71B83">
        <w:rPr>
          <w:rFonts w:ascii="Palatino Linotype" w:eastAsia="Times New Roman" w:hAnsi="Palatino Linotype" w:cs="Times New Roman"/>
          <w:sz w:val="24"/>
          <w:szCs w:val="24"/>
          <w:lang w:eastAsia="es-ES"/>
        </w:rPr>
        <w:t xml:space="preserve">Ley de Transparencia y Acceso a la Información Pública del Estado de México y Municipios, </w:t>
      </w:r>
      <w:r w:rsidRPr="00D71B83">
        <w:rPr>
          <w:rFonts w:ascii="Palatino Linotype" w:eastAsia="Times New Roman" w:hAnsi="Palatino Linotype" w:cs="Times New Roman"/>
          <w:color w:val="000000"/>
          <w:sz w:val="24"/>
          <w:szCs w:val="24"/>
          <w:lang w:eastAsia="es-ES"/>
        </w:rPr>
        <w:t xml:space="preserve">que dispone lo siguiente: </w:t>
      </w:r>
    </w:p>
    <w:p w:rsidR="00D71B83" w:rsidRPr="00D71B83" w:rsidRDefault="00D71B83" w:rsidP="00D71B83">
      <w:pPr>
        <w:widowControl w:val="0"/>
        <w:autoSpaceDE w:val="0"/>
        <w:autoSpaceDN w:val="0"/>
        <w:adjustRightInd w:val="0"/>
        <w:spacing w:after="0" w:line="240" w:lineRule="auto"/>
        <w:jc w:val="center"/>
        <w:rPr>
          <w:rFonts w:ascii="Palatino Linotype" w:eastAsia="Times New Roman" w:hAnsi="Palatino Linotype" w:cs="Times New Roman"/>
          <w:color w:val="000000"/>
          <w:sz w:val="24"/>
          <w:szCs w:val="24"/>
          <w:lang w:eastAsia="es-ES"/>
        </w:rPr>
      </w:pPr>
    </w:p>
    <w:p w:rsidR="00D71B83" w:rsidRDefault="00D71B83" w:rsidP="00D71B83">
      <w:pPr>
        <w:tabs>
          <w:tab w:val="left" w:pos="1134"/>
          <w:tab w:val="left" w:pos="7655"/>
        </w:tabs>
        <w:spacing w:after="0" w:line="240" w:lineRule="auto"/>
        <w:ind w:left="567" w:right="616"/>
        <w:jc w:val="both"/>
        <w:rPr>
          <w:rFonts w:ascii="Palatino Linotype" w:eastAsia="Times New Roman" w:hAnsi="Palatino Linotype" w:cs="Arial"/>
          <w:i/>
          <w:szCs w:val="24"/>
          <w:lang w:eastAsia="es-ES"/>
        </w:rPr>
      </w:pPr>
      <w:r w:rsidRPr="00D71B83">
        <w:rPr>
          <w:rFonts w:ascii="Palatino Linotype" w:eastAsia="Times New Roman" w:hAnsi="Palatino Linotype" w:cs="Arial"/>
          <w:i/>
          <w:szCs w:val="24"/>
          <w:lang w:eastAsia="es-ES"/>
        </w:rPr>
        <w:t>“</w:t>
      </w:r>
      <w:r w:rsidRPr="00D71B83">
        <w:rPr>
          <w:rFonts w:ascii="Palatino Linotype" w:eastAsia="Times New Roman" w:hAnsi="Palatino Linotype" w:cs="Arial"/>
          <w:b/>
          <w:i/>
          <w:szCs w:val="24"/>
          <w:lang w:eastAsia="es-ES"/>
        </w:rPr>
        <w:t>Artículo 192.</w:t>
      </w:r>
      <w:r w:rsidRPr="00D71B83">
        <w:rPr>
          <w:rFonts w:ascii="Palatino Linotype" w:eastAsia="Times New Roman" w:hAnsi="Palatino Linotype" w:cs="Arial"/>
          <w:i/>
          <w:szCs w:val="24"/>
          <w:lang w:eastAsia="es-ES"/>
        </w:rPr>
        <w:t xml:space="preserve"> </w:t>
      </w:r>
      <w:r w:rsidRPr="00D71B83">
        <w:rPr>
          <w:rFonts w:ascii="Palatino Linotype" w:eastAsia="Times New Roman" w:hAnsi="Palatino Linotype" w:cs="Arial"/>
          <w:b/>
          <w:i/>
          <w:szCs w:val="24"/>
          <w:u w:val="single"/>
          <w:lang w:eastAsia="es-ES"/>
        </w:rPr>
        <w:t>El recurso será sobreseído</w:t>
      </w:r>
      <w:r w:rsidRPr="00D71B83">
        <w:rPr>
          <w:rFonts w:ascii="Palatino Linotype" w:eastAsia="Times New Roman" w:hAnsi="Palatino Linotype" w:cs="Arial"/>
          <w:i/>
          <w:szCs w:val="24"/>
          <w:lang w:eastAsia="es-ES"/>
        </w:rPr>
        <w:t xml:space="preserve">, en todo o en parte, </w:t>
      </w:r>
      <w:r w:rsidRPr="00D71B83">
        <w:rPr>
          <w:rFonts w:ascii="Palatino Linotype" w:eastAsia="Times New Roman" w:hAnsi="Palatino Linotype" w:cs="Arial"/>
          <w:b/>
          <w:i/>
          <w:szCs w:val="24"/>
          <w:u w:val="single"/>
          <w:lang w:eastAsia="es-ES"/>
        </w:rPr>
        <w:t>cuando una vez admitido</w:t>
      </w:r>
      <w:r w:rsidRPr="00D71B83">
        <w:rPr>
          <w:rFonts w:ascii="Palatino Linotype" w:eastAsia="Times New Roman" w:hAnsi="Palatino Linotype" w:cs="Arial"/>
          <w:i/>
          <w:szCs w:val="24"/>
          <w:lang w:eastAsia="es-ES"/>
        </w:rPr>
        <w:t xml:space="preserve">, se actualicen alguno de los </w:t>
      </w:r>
      <w:r w:rsidRPr="00D71B83">
        <w:rPr>
          <w:rFonts w:ascii="Palatino Linotype" w:eastAsia="Times New Roman" w:hAnsi="Palatino Linotype" w:cs="Arial"/>
          <w:i/>
          <w:lang w:val="es-ES" w:eastAsia="es-ES"/>
        </w:rPr>
        <w:t>siguientes</w:t>
      </w:r>
      <w:r w:rsidRPr="00D71B83">
        <w:rPr>
          <w:rFonts w:ascii="Palatino Linotype" w:eastAsia="Times New Roman" w:hAnsi="Palatino Linotype" w:cs="Arial"/>
          <w:i/>
          <w:szCs w:val="24"/>
          <w:lang w:eastAsia="es-ES"/>
        </w:rPr>
        <w:t xml:space="preserve"> supuestos:</w:t>
      </w:r>
    </w:p>
    <w:p w:rsidR="00D71B83" w:rsidRPr="00D71B83" w:rsidRDefault="00D71B83" w:rsidP="00D71B83">
      <w:pPr>
        <w:tabs>
          <w:tab w:val="left" w:pos="1134"/>
          <w:tab w:val="left" w:pos="7655"/>
        </w:tabs>
        <w:spacing w:after="0" w:line="240" w:lineRule="auto"/>
        <w:ind w:left="567" w:right="616"/>
        <w:jc w:val="both"/>
        <w:rPr>
          <w:rFonts w:ascii="Palatino Linotype" w:eastAsia="Times New Roman" w:hAnsi="Palatino Linotype" w:cs="Arial"/>
          <w:i/>
          <w:szCs w:val="24"/>
          <w:lang w:eastAsia="es-ES"/>
        </w:rPr>
      </w:pPr>
    </w:p>
    <w:p w:rsidR="00D71B83" w:rsidRDefault="00D71B83" w:rsidP="00D71B83">
      <w:pPr>
        <w:pStyle w:val="Prrafodelista"/>
        <w:widowControl w:val="0"/>
        <w:tabs>
          <w:tab w:val="left" w:pos="1134"/>
          <w:tab w:val="left" w:pos="7655"/>
        </w:tabs>
        <w:autoSpaceDE w:val="0"/>
        <w:autoSpaceDN w:val="0"/>
        <w:adjustRightInd w:val="0"/>
        <w:spacing w:line="360" w:lineRule="auto"/>
        <w:ind w:left="567" w:right="616"/>
        <w:jc w:val="both"/>
        <w:rPr>
          <w:rFonts w:ascii="Palatino Linotype" w:eastAsia="Times New Roman" w:hAnsi="Palatino Linotype" w:cs="Arial"/>
          <w:sz w:val="24"/>
          <w:szCs w:val="24"/>
          <w:lang w:eastAsia="es-ES"/>
        </w:rPr>
      </w:pPr>
      <w:r w:rsidRPr="00D71B83">
        <w:rPr>
          <w:rFonts w:ascii="Palatino Linotype" w:eastAsia="Times New Roman" w:hAnsi="Palatino Linotype" w:cs="Arial"/>
          <w:b/>
          <w:i/>
          <w:szCs w:val="24"/>
          <w:lang w:eastAsia="es-ES"/>
        </w:rPr>
        <w:t>I.</w:t>
      </w:r>
      <w:r w:rsidRPr="00D71B83">
        <w:rPr>
          <w:rFonts w:ascii="Palatino Linotype" w:eastAsia="Times New Roman" w:hAnsi="Palatino Linotype" w:cs="Arial"/>
          <w:i/>
          <w:szCs w:val="24"/>
          <w:lang w:eastAsia="es-ES"/>
        </w:rPr>
        <w:t xml:space="preserve"> </w:t>
      </w:r>
      <w:r w:rsidRPr="00D71B83">
        <w:rPr>
          <w:rFonts w:ascii="Palatino Linotype" w:eastAsia="Times New Roman" w:hAnsi="Palatino Linotype" w:cs="Arial"/>
          <w:b/>
          <w:i/>
          <w:szCs w:val="24"/>
          <w:u w:val="single"/>
          <w:lang w:eastAsia="es-ES"/>
        </w:rPr>
        <w:t>El recurrente se desista expresamente del recurso</w:t>
      </w:r>
      <w:r w:rsidRPr="00D71B83">
        <w:rPr>
          <w:rFonts w:ascii="Palatino Linotype" w:eastAsia="Times New Roman" w:hAnsi="Palatino Linotype" w:cs="Arial"/>
          <w:i/>
          <w:szCs w:val="24"/>
          <w:lang w:eastAsia="es-ES"/>
        </w:rPr>
        <w:t>;”</w:t>
      </w:r>
    </w:p>
    <w:p w:rsidR="002A3FC6" w:rsidRPr="00310843" w:rsidRDefault="002A3FC6" w:rsidP="002A3FC6">
      <w:pPr>
        <w:spacing w:before="120" w:after="120" w:line="360" w:lineRule="auto"/>
        <w:ind w:right="616"/>
        <w:contextualSpacing/>
        <w:jc w:val="both"/>
        <w:rPr>
          <w:rFonts w:ascii="Palatino Linotype" w:hAnsi="Palatino Linotype" w:cs="Arial"/>
          <w:sz w:val="24"/>
          <w:szCs w:val="20"/>
        </w:rPr>
      </w:pPr>
    </w:p>
    <w:p w:rsidR="00D71B83" w:rsidRPr="00D71B83" w:rsidRDefault="002A3FC6" w:rsidP="00D71B83">
      <w:pPr>
        <w:keepNext/>
        <w:keepLines/>
        <w:numPr>
          <w:ilvl w:val="0"/>
          <w:numId w:val="2"/>
        </w:numPr>
        <w:spacing w:before="240" w:after="0"/>
        <w:ind w:left="0" w:firstLine="0"/>
        <w:outlineLvl w:val="0"/>
        <w:rPr>
          <w:rFonts w:ascii="Palatino Linotype" w:hAnsi="Palatino Linotype" w:cs="Arial"/>
          <w:b/>
          <w:i/>
        </w:rPr>
      </w:pPr>
      <w:bookmarkStart w:id="2" w:name="_Toc2012870"/>
      <w:r w:rsidRPr="00310843">
        <w:rPr>
          <w:rFonts w:ascii="Palatino Linotype" w:eastAsiaTheme="majorEastAsia" w:hAnsi="Palatino Linotype" w:cstheme="majorBidi"/>
          <w:b/>
          <w:sz w:val="24"/>
          <w:szCs w:val="32"/>
        </w:rPr>
        <w:t>De</w:t>
      </w:r>
      <w:r w:rsidR="00D71B83">
        <w:rPr>
          <w:rFonts w:ascii="Palatino Linotype" w:eastAsiaTheme="majorEastAsia" w:hAnsi="Palatino Linotype" w:cstheme="majorBidi"/>
          <w:b/>
          <w:sz w:val="24"/>
          <w:szCs w:val="32"/>
        </w:rPr>
        <w:t>l contenido del desistimiento</w:t>
      </w:r>
      <w:bookmarkEnd w:id="2"/>
    </w:p>
    <w:p w:rsidR="00D71B83" w:rsidRPr="00D71B83" w:rsidRDefault="00D71B83" w:rsidP="00D71B83">
      <w:pPr>
        <w:keepNext/>
        <w:keepLines/>
        <w:spacing w:before="240" w:after="0"/>
        <w:outlineLvl w:val="0"/>
        <w:rPr>
          <w:rFonts w:ascii="Palatino Linotype" w:hAnsi="Palatino Linotype" w:cs="Arial"/>
          <w:b/>
          <w:i/>
        </w:rPr>
      </w:pPr>
    </w:p>
    <w:p w:rsidR="001D0944" w:rsidRPr="001D0944" w:rsidRDefault="00D71B83" w:rsidP="002A3FC6">
      <w:pPr>
        <w:numPr>
          <w:ilvl w:val="0"/>
          <w:numId w:val="1"/>
        </w:numPr>
        <w:spacing w:after="0" w:line="360" w:lineRule="auto"/>
        <w:ind w:left="0" w:firstLine="0"/>
        <w:contextualSpacing/>
        <w:jc w:val="both"/>
        <w:rPr>
          <w:rFonts w:ascii="Palatino Linotype" w:hAnsi="Palatino Linotype" w:cs="Arial"/>
          <w:b/>
          <w:i/>
          <w:sz w:val="24"/>
          <w:szCs w:val="24"/>
        </w:rPr>
      </w:pPr>
      <w:r w:rsidRPr="001D0944">
        <w:rPr>
          <w:rFonts w:ascii="Palatino Linotype" w:hAnsi="Palatino Linotype" w:cs="Arial"/>
          <w:sz w:val="24"/>
          <w:szCs w:val="24"/>
        </w:rPr>
        <w:t>De</w:t>
      </w:r>
      <w:r w:rsidR="001D0944" w:rsidRPr="001D0944">
        <w:rPr>
          <w:rFonts w:ascii="Palatino Linotype" w:hAnsi="Palatino Linotype" w:cs="Arial"/>
          <w:sz w:val="24"/>
          <w:szCs w:val="24"/>
        </w:rPr>
        <w:t xml:space="preserve"> lo anteriormente expuesto, se aprecia claramente que el supuesto desistimiento expreso a que hace referencia la Ponencia </w:t>
      </w:r>
      <w:proofErr w:type="spellStart"/>
      <w:r w:rsidR="001D0944" w:rsidRPr="001D0944">
        <w:rPr>
          <w:rFonts w:ascii="Palatino Linotype" w:hAnsi="Palatino Linotype" w:cs="Arial"/>
          <w:sz w:val="24"/>
          <w:szCs w:val="24"/>
        </w:rPr>
        <w:t>Resolutora</w:t>
      </w:r>
      <w:proofErr w:type="spellEnd"/>
      <w:r w:rsidR="001D0944">
        <w:rPr>
          <w:rFonts w:ascii="Palatino Linotype" w:hAnsi="Palatino Linotype" w:cs="Arial"/>
          <w:sz w:val="24"/>
          <w:szCs w:val="24"/>
        </w:rPr>
        <w:t xml:space="preserve"> no es propiamente un</w:t>
      </w:r>
      <w:r w:rsidR="00E9038F">
        <w:rPr>
          <w:rFonts w:ascii="Palatino Linotype" w:hAnsi="Palatino Linotype" w:cs="Arial"/>
          <w:sz w:val="24"/>
          <w:szCs w:val="24"/>
        </w:rPr>
        <w:t>a</w:t>
      </w:r>
      <w:r w:rsidR="001D0944">
        <w:rPr>
          <w:rFonts w:ascii="Palatino Linotype" w:hAnsi="Palatino Linotype" w:cs="Arial"/>
          <w:sz w:val="24"/>
          <w:szCs w:val="24"/>
        </w:rPr>
        <w:t xml:space="preserve"> manifestación en la que se aprecie la conformidad del solicitante sino todo lo contrario ya que las expresiones </w:t>
      </w:r>
      <w:r w:rsidR="00E9038F">
        <w:rPr>
          <w:rFonts w:ascii="Palatino Linotype" w:hAnsi="Palatino Linotype" w:cs="Arial"/>
          <w:sz w:val="24"/>
          <w:szCs w:val="24"/>
        </w:rPr>
        <w:t>“FALTA</w:t>
      </w:r>
      <w:r w:rsidR="001D0944">
        <w:rPr>
          <w:rFonts w:ascii="Palatino Linotype" w:hAnsi="Palatino Linotype" w:cs="Arial"/>
          <w:sz w:val="24"/>
          <w:szCs w:val="24"/>
        </w:rPr>
        <w:t xml:space="preserve"> DE CONFIANZA E IMPARCIALIDAD” no resultan precisamente un desistimiento sino una inconformidad por parte del solicitante.</w:t>
      </w:r>
    </w:p>
    <w:p w:rsidR="001D0944" w:rsidRPr="001D0944" w:rsidRDefault="001D0944" w:rsidP="001D0944">
      <w:pPr>
        <w:spacing w:after="0" w:line="360" w:lineRule="auto"/>
        <w:contextualSpacing/>
        <w:jc w:val="both"/>
        <w:rPr>
          <w:rFonts w:ascii="Palatino Linotype" w:hAnsi="Palatino Linotype" w:cs="Arial"/>
          <w:b/>
          <w:i/>
          <w:sz w:val="24"/>
          <w:szCs w:val="24"/>
        </w:rPr>
      </w:pPr>
    </w:p>
    <w:p w:rsidR="00E9038F" w:rsidRPr="00E9038F" w:rsidRDefault="00E9038F" w:rsidP="00E9038F">
      <w:pPr>
        <w:numPr>
          <w:ilvl w:val="0"/>
          <w:numId w:val="1"/>
        </w:numPr>
        <w:spacing w:after="0" w:line="360" w:lineRule="auto"/>
        <w:ind w:left="0" w:firstLine="0"/>
        <w:contextualSpacing/>
        <w:jc w:val="both"/>
        <w:rPr>
          <w:rFonts w:ascii="Palatino Linotype" w:hAnsi="Palatino Linotype" w:cs="Arial"/>
          <w:b/>
          <w:i/>
          <w:sz w:val="24"/>
          <w:szCs w:val="24"/>
        </w:rPr>
      </w:pPr>
      <w:r w:rsidRPr="00E9038F">
        <w:rPr>
          <w:rFonts w:ascii="Palatino Linotype" w:hAnsi="Palatino Linotype" w:cs="Arial"/>
          <w:sz w:val="24"/>
          <w:szCs w:val="24"/>
        </w:rPr>
        <w:t xml:space="preserve">Luego entonces, se puede observar que el desistimiento se realizó muy probablemente por un error involuntario del solicitante y no precisamente porque la respuesta que le fue entregada haya sido satisfactoria, toda vez que se aprecia que misma resulta incompleta al observar en el contenido de los escasos correos que no se adjuntaron los documentos que los integra en algunos casos, simplemente el </w:t>
      </w:r>
      <w:r w:rsidRPr="00E9038F">
        <w:rPr>
          <w:rFonts w:ascii="Palatino Linotype" w:hAnsi="Palatino Linotype" w:cs="Arial"/>
          <w:b/>
          <w:sz w:val="24"/>
          <w:szCs w:val="24"/>
        </w:rPr>
        <w:t>SUJETO OBLIGADO</w:t>
      </w:r>
      <w:r w:rsidRPr="00E9038F">
        <w:rPr>
          <w:rFonts w:ascii="Palatino Linotype" w:hAnsi="Palatino Linotype" w:cs="Arial"/>
          <w:sz w:val="24"/>
          <w:szCs w:val="24"/>
        </w:rPr>
        <w:t xml:space="preserve"> se limitó a dar una copia los mismo sin adjunta los anexos que lo integran.</w:t>
      </w:r>
    </w:p>
    <w:p w:rsidR="00E9038F" w:rsidRDefault="00E9038F" w:rsidP="00E9038F">
      <w:pPr>
        <w:spacing w:after="0" w:line="360" w:lineRule="auto"/>
        <w:contextualSpacing/>
        <w:jc w:val="both"/>
        <w:rPr>
          <w:rFonts w:ascii="Palatino Linotype" w:hAnsi="Palatino Linotype" w:cs="Arial"/>
          <w:b/>
          <w:i/>
          <w:sz w:val="24"/>
          <w:szCs w:val="24"/>
        </w:rPr>
      </w:pPr>
    </w:p>
    <w:p w:rsidR="00D26689" w:rsidRDefault="002A3FC6" w:rsidP="002A3FC6">
      <w:pPr>
        <w:numPr>
          <w:ilvl w:val="0"/>
          <w:numId w:val="1"/>
        </w:numPr>
        <w:spacing w:after="0" w:line="360" w:lineRule="auto"/>
        <w:ind w:left="0" w:firstLine="0"/>
        <w:contextualSpacing/>
        <w:jc w:val="both"/>
        <w:rPr>
          <w:rFonts w:ascii="Palatino Linotype" w:hAnsi="Palatino Linotype" w:cs="Arial"/>
          <w:sz w:val="24"/>
          <w:szCs w:val="24"/>
        </w:rPr>
      </w:pPr>
      <w:r w:rsidRPr="00310843">
        <w:rPr>
          <w:rFonts w:ascii="Palatino Linotype" w:hAnsi="Palatino Linotype" w:cs="Arial"/>
          <w:sz w:val="24"/>
          <w:szCs w:val="24"/>
        </w:rPr>
        <w:lastRenderedPageBreak/>
        <w:t xml:space="preserve">Asimismo, en el presente caso en particular no se comparte que la ponencia </w:t>
      </w:r>
      <w:proofErr w:type="spellStart"/>
      <w:r w:rsidRPr="00310843">
        <w:rPr>
          <w:rFonts w:ascii="Palatino Linotype" w:hAnsi="Palatino Linotype" w:cs="Arial"/>
          <w:sz w:val="24"/>
          <w:szCs w:val="24"/>
        </w:rPr>
        <w:t>resolutora</w:t>
      </w:r>
      <w:proofErr w:type="spellEnd"/>
      <w:r w:rsidRPr="00310843">
        <w:rPr>
          <w:rFonts w:ascii="Palatino Linotype" w:hAnsi="Palatino Linotype" w:cs="Arial"/>
          <w:sz w:val="24"/>
          <w:szCs w:val="24"/>
        </w:rPr>
        <w:t xml:space="preserve"> haya </w:t>
      </w:r>
      <w:r w:rsidR="00D26689">
        <w:rPr>
          <w:rFonts w:ascii="Palatino Linotype" w:hAnsi="Palatino Linotype" w:cs="Arial"/>
          <w:sz w:val="24"/>
          <w:szCs w:val="24"/>
        </w:rPr>
        <w:t xml:space="preserve">considerado que el desistimiento del solicitante sea procedente cuando en su contenido se aprecia una inconformidad del solicitante y no su expresión plena y convincente de esta conforme con la respuesta que el </w:t>
      </w:r>
      <w:r w:rsidR="00D26689" w:rsidRPr="00D26689">
        <w:rPr>
          <w:rFonts w:ascii="Palatino Linotype" w:hAnsi="Palatino Linotype" w:cs="Arial"/>
          <w:b/>
          <w:sz w:val="24"/>
          <w:szCs w:val="24"/>
        </w:rPr>
        <w:t>SUJETO OBLIGADO</w:t>
      </w:r>
      <w:r w:rsidR="00D26689">
        <w:rPr>
          <w:rFonts w:ascii="Palatino Linotype" w:hAnsi="Palatino Linotype" w:cs="Arial"/>
          <w:sz w:val="24"/>
          <w:szCs w:val="24"/>
        </w:rPr>
        <w:t xml:space="preserve"> emitió.</w:t>
      </w:r>
    </w:p>
    <w:p w:rsidR="00D26689" w:rsidRPr="00592FEC" w:rsidRDefault="00D26689" w:rsidP="00592FEC">
      <w:pPr>
        <w:pStyle w:val="Ttulo2"/>
        <w:rPr>
          <w:rFonts w:ascii="Palatino Linotype" w:hAnsi="Palatino Linotype"/>
          <w:color w:val="auto"/>
          <w:sz w:val="24"/>
          <w:szCs w:val="24"/>
        </w:rPr>
      </w:pPr>
    </w:p>
    <w:p w:rsidR="002A3FC6" w:rsidRPr="00592FEC" w:rsidRDefault="00592FEC" w:rsidP="00592FEC">
      <w:pPr>
        <w:pStyle w:val="Ttulo2"/>
        <w:rPr>
          <w:rFonts w:ascii="Palatino Linotype" w:hAnsi="Palatino Linotype"/>
          <w:b/>
          <w:color w:val="auto"/>
          <w:sz w:val="24"/>
          <w:szCs w:val="24"/>
        </w:rPr>
      </w:pPr>
      <w:bookmarkStart w:id="3" w:name="_Toc2012871"/>
      <w:r w:rsidRPr="00592FEC">
        <w:rPr>
          <w:rFonts w:ascii="Palatino Linotype" w:hAnsi="Palatino Linotype"/>
          <w:b/>
          <w:color w:val="auto"/>
          <w:sz w:val="24"/>
          <w:szCs w:val="24"/>
        </w:rPr>
        <w:t>IV</w:t>
      </w:r>
      <w:r>
        <w:rPr>
          <w:rFonts w:ascii="Palatino Linotype" w:hAnsi="Palatino Linotype"/>
          <w:b/>
          <w:color w:val="auto"/>
          <w:sz w:val="24"/>
          <w:szCs w:val="24"/>
        </w:rPr>
        <w:t>.</w:t>
      </w:r>
      <w:r w:rsidR="00D26689" w:rsidRPr="00592FEC">
        <w:rPr>
          <w:rFonts w:ascii="Palatino Linotype" w:hAnsi="Palatino Linotype"/>
          <w:b/>
          <w:color w:val="auto"/>
          <w:sz w:val="24"/>
          <w:szCs w:val="24"/>
        </w:rPr>
        <w:t xml:space="preserve"> </w:t>
      </w:r>
      <w:r w:rsidR="002A3FC6" w:rsidRPr="00592FEC">
        <w:rPr>
          <w:rFonts w:ascii="Palatino Linotype" w:hAnsi="Palatino Linotype"/>
          <w:b/>
          <w:color w:val="auto"/>
          <w:sz w:val="24"/>
          <w:szCs w:val="24"/>
        </w:rPr>
        <w:t>Conclusión.</w:t>
      </w:r>
      <w:bookmarkEnd w:id="3"/>
    </w:p>
    <w:p w:rsidR="002A3FC6" w:rsidRPr="00310843" w:rsidRDefault="002A3FC6" w:rsidP="002A3FC6"/>
    <w:p w:rsidR="00D26689" w:rsidRDefault="002A3FC6" w:rsidP="00D26689">
      <w:pPr>
        <w:numPr>
          <w:ilvl w:val="0"/>
          <w:numId w:val="1"/>
        </w:numPr>
        <w:spacing w:after="0" w:line="360" w:lineRule="auto"/>
        <w:ind w:left="0" w:firstLine="0"/>
        <w:contextualSpacing/>
        <w:jc w:val="both"/>
        <w:rPr>
          <w:rFonts w:ascii="Palatino Linotype" w:hAnsi="Palatino Linotype" w:cs="Arial"/>
          <w:sz w:val="24"/>
          <w:szCs w:val="24"/>
        </w:rPr>
      </w:pPr>
      <w:r w:rsidRPr="00310843">
        <w:rPr>
          <w:rFonts w:ascii="Palatino Linotype" w:hAnsi="Palatino Linotype" w:cs="Arial"/>
          <w:sz w:val="24"/>
          <w:szCs w:val="24"/>
        </w:rPr>
        <w:t>Si bien,</w:t>
      </w:r>
      <w:r w:rsidR="00D26689">
        <w:rPr>
          <w:rFonts w:ascii="Palatino Linotype" w:hAnsi="Palatino Linotype" w:cs="Arial"/>
          <w:sz w:val="24"/>
          <w:szCs w:val="24"/>
        </w:rPr>
        <w:t xml:space="preserve"> se aprecia en el SAIMEX la casilla del Desistimiento, lo ciento es que el contenido del mismo no está encamino a la manifestación de estar el particular de acuerdo con el contenido de la respuesta, la cual debió de ser el punto de partida para un desistimiento, por lo tanto considero que la P</w:t>
      </w:r>
      <w:r w:rsidR="00D26689" w:rsidRPr="00D26689">
        <w:rPr>
          <w:rFonts w:ascii="Palatino Linotype" w:hAnsi="Palatino Linotype" w:cs="Arial"/>
          <w:sz w:val="24"/>
          <w:szCs w:val="24"/>
        </w:rPr>
        <w:t xml:space="preserve">onencia </w:t>
      </w:r>
      <w:proofErr w:type="spellStart"/>
      <w:r w:rsidR="00D26689" w:rsidRPr="00D26689">
        <w:rPr>
          <w:rFonts w:ascii="Palatino Linotype" w:hAnsi="Palatino Linotype" w:cs="Arial"/>
          <w:sz w:val="24"/>
          <w:szCs w:val="24"/>
        </w:rPr>
        <w:t>Resolutora</w:t>
      </w:r>
      <w:proofErr w:type="spellEnd"/>
      <w:r w:rsidR="00D26689" w:rsidRPr="00D26689">
        <w:rPr>
          <w:rFonts w:ascii="Palatino Linotype" w:hAnsi="Palatino Linotype" w:cs="Arial"/>
          <w:sz w:val="24"/>
          <w:szCs w:val="24"/>
        </w:rPr>
        <w:t xml:space="preserve"> debió de </w:t>
      </w:r>
      <w:r w:rsidR="00D26689">
        <w:rPr>
          <w:rFonts w:ascii="Palatino Linotype" w:hAnsi="Palatino Linotype" w:cs="Arial"/>
          <w:sz w:val="24"/>
          <w:szCs w:val="24"/>
        </w:rPr>
        <w:t>considerar la expresiones contenidas en desistimiento, así como el contenido de la respuesta y con ello evitar</w:t>
      </w:r>
      <w:r w:rsidRPr="00D26689">
        <w:rPr>
          <w:rFonts w:ascii="Palatino Linotype" w:hAnsi="Palatino Linotype" w:cs="Arial"/>
          <w:sz w:val="24"/>
          <w:szCs w:val="24"/>
        </w:rPr>
        <w:t xml:space="preserve"> </w:t>
      </w:r>
      <w:r w:rsidR="00D26689">
        <w:rPr>
          <w:rFonts w:ascii="Palatino Linotype" w:hAnsi="Palatino Linotype" w:cs="Arial"/>
          <w:sz w:val="24"/>
          <w:szCs w:val="24"/>
        </w:rPr>
        <w:t xml:space="preserve">una </w:t>
      </w:r>
      <w:r w:rsidRPr="00D26689">
        <w:rPr>
          <w:rFonts w:ascii="Palatino Linotype" w:hAnsi="Palatino Linotype" w:cs="Arial"/>
          <w:sz w:val="24"/>
          <w:szCs w:val="24"/>
        </w:rPr>
        <w:t xml:space="preserve">posible afectación </w:t>
      </w:r>
      <w:r w:rsidR="00D26689">
        <w:rPr>
          <w:rFonts w:ascii="Palatino Linotype" w:hAnsi="Palatino Linotype" w:cs="Arial"/>
          <w:sz w:val="24"/>
          <w:szCs w:val="24"/>
        </w:rPr>
        <w:t>al derecho de acceso a la información del solicitante.</w:t>
      </w:r>
    </w:p>
    <w:p w:rsidR="003064A9" w:rsidRDefault="003064A9" w:rsidP="003064A9">
      <w:pPr>
        <w:spacing w:after="0" w:line="360" w:lineRule="auto"/>
        <w:contextualSpacing/>
        <w:jc w:val="both"/>
        <w:rPr>
          <w:rFonts w:ascii="Palatino Linotype" w:hAnsi="Palatino Linotype" w:cs="Arial"/>
          <w:sz w:val="24"/>
          <w:szCs w:val="24"/>
        </w:rPr>
      </w:pPr>
    </w:p>
    <w:p w:rsidR="002A3FC6" w:rsidRPr="00310843" w:rsidRDefault="002A3FC6" w:rsidP="002A3FC6">
      <w:pPr>
        <w:spacing w:after="0" w:line="360" w:lineRule="auto"/>
        <w:jc w:val="both"/>
        <w:rPr>
          <w:rFonts w:ascii="Palatino Linotype" w:hAnsi="Palatino Linotype" w:cs="Arial"/>
          <w:sz w:val="24"/>
          <w:szCs w:val="24"/>
        </w:rPr>
      </w:pPr>
    </w:p>
    <w:p w:rsidR="002A3FC6" w:rsidRPr="00310843" w:rsidRDefault="002A3FC6" w:rsidP="002A3FC6">
      <w:pPr>
        <w:spacing w:line="360" w:lineRule="auto"/>
        <w:jc w:val="center"/>
        <w:rPr>
          <w:rFonts w:ascii="Palatino Linotype" w:eastAsia="Calibri" w:hAnsi="Palatino Linotype" w:cs="Arial"/>
          <w:b/>
          <w:sz w:val="24"/>
          <w:szCs w:val="24"/>
        </w:rPr>
      </w:pPr>
      <w:r w:rsidRPr="00310843">
        <w:rPr>
          <w:rFonts w:ascii="Palatino Linotype" w:eastAsia="Calibri" w:hAnsi="Palatino Linotype" w:cs="Arial"/>
          <w:b/>
          <w:sz w:val="24"/>
          <w:szCs w:val="24"/>
        </w:rPr>
        <w:t>JOSÉ GUADALUPE LUNA HERNÁNDEZ</w:t>
      </w:r>
    </w:p>
    <w:p w:rsidR="002A3FC6" w:rsidRPr="00310843" w:rsidRDefault="002A3FC6" w:rsidP="002A3FC6">
      <w:pPr>
        <w:spacing w:line="360" w:lineRule="auto"/>
        <w:jc w:val="center"/>
        <w:rPr>
          <w:rFonts w:ascii="Palatino Linotype" w:eastAsia="Calibri" w:hAnsi="Palatino Linotype" w:cs="Arial"/>
          <w:b/>
          <w:sz w:val="24"/>
          <w:szCs w:val="24"/>
        </w:rPr>
      </w:pPr>
      <w:r w:rsidRPr="00310843">
        <w:rPr>
          <w:rFonts w:ascii="Palatino Linotype" w:eastAsia="Calibri" w:hAnsi="Palatino Linotype" w:cs="Arial"/>
          <w:b/>
          <w:sz w:val="24"/>
          <w:szCs w:val="24"/>
        </w:rPr>
        <w:t>COMISIONADO</w:t>
      </w:r>
    </w:p>
    <w:p w:rsidR="00592FEC" w:rsidRDefault="00592FEC" w:rsidP="003064A9">
      <w:pPr>
        <w:spacing w:line="360" w:lineRule="auto"/>
        <w:rPr>
          <w:rFonts w:ascii="Palatino Linotype" w:eastAsia="Calibri" w:hAnsi="Palatino Linotype" w:cs="Arial"/>
          <w:b/>
          <w:sz w:val="24"/>
          <w:szCs w:val="24"/>
        </w:rPr>
      </w:pPr>
    </w:p>
    <w:p w:rsidR="0025734D" w:rsidRDefault="002A3FC6" w:rsidP="003064A9">
      <w:pPr>
        <w:spacing w:line="360" w:lineRule="auto"/>
      </w:pPr>
      <w:r>
        <w:rPr>
          <w:rFonts w:ascii="Palatino Linotype" w:eastAsia="Calibri" w:hAnsi="Palatino Linotype" w:cs="Arial"/>
          <w:b/>
          <w:sz w:val="24"/>
          <w:szCs w:val="24"/>
        </w:rPr>
        <w:t>JGLH/MSA</w:t>
      </w:r>
      <w:bookmarkStart w:id="4" w:name="_GoBack"/>
      <w:bookmarkEnd w:id="4"/>
    </w:p>
    <w:sectPr w:rsidR="0025734D" w:rsidSect="00267F73">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7EA" w:rsidRDefault="002C37EA" w:rsidP="002A3FC6">
      <w:pPr>
        <w:spacing w:after="0" w:line="240" w:lineRule="auto"/>
      </w:pPr>
      <w:r>
        <w:separator/>
      </w:r>
    </w:p>
  </w:endnote>
  <w:endnote w:type="continuationSeparator" w:id="0">
    <w:p w:rsidR="002C37EA" w:rsidRDefault="002C37EA" w:rsidP="002A3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2C14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02E80">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02E80">
              <w:rPr>
                <w:b/>
                <w:bCs/>
                <w:noProof/>
              </w:rPr>
              <w:t>7</w:t>
            </w:r>
            <w:r>
              <w:rPr>
                <w:b/>
                <w:bCs/>
                <w:sz w:val="24"/>
                <w:szCs w:val="24"/>
              </w:rPr>
              <w:fldChar w:fldCharType="end"/>
            </w:r>
          </w:p>
        </w:sdtContent>
      </w:sdt>
    </w:sdtContent>
  </w:sdt>
  <w:p w:rsidR="00951E8B" w:rsidRDefault="00A02E80"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7EA" w:rsidRDefault="002C37EA" w:rsidP="002A3FC6">
      <w:pPr>
        <w:spacing w:after="0" w:line="240" w:lineRule="auto"/>
      </w:pPr>
      <w:r>
        <w:separator/>
      </w:r>
    </w:p>
  </w:footnote>
  <w:footnote w:type="continuationSeparator" w:id="0">
    <w:p w:rsidR="002C37EA" w:rsidRDefault="002C37EA" w:rsidP="002A3FC6">
      <w:pPr>
        <w:spacing w:after="0" w:line="240" w:lineRule="auto"/>
      </w:pPr>
      <w:r>
        <w:continuationSeparator/>
      </w:r>
    </w:p>
  </w:footnote>
  <w:footnote w:id="1">
    <w:p w:rsidR="00D71B83" w:rsidRPr="005A78E7" w:rsidRDefault="00D71B83" w:rsidP="00D71B83">
      <w:pPr>
        <w:pStyle w:val="Textonotapie"/>
        <w:rPr>
          <w:rFonts w:ascii="Palatino Linotype" w:hAnsi="Palatino Linotype"/>
          <w:sz w:val="16"/>
          <w:szCs w:val="16"/>
        </w:rPr>
      </w:pPr>
      <w:r w:rsidRPr="005A78E7">
        <w:rPr>
          <w:rStyle w:val="Refdenotaalpie"/>
          <w:rFonts w:ascii="Palatino Linotype" w:hAnsi="Palatino Linotype"/>
          <w:sz w:val="16"/>
          <w:szCs w:val="16"/>
        </w:rPr>
        <w:footnoteRef/>
      </w:r>
      <w:r w:rsidRPr="005A78E7">
        <w:rPr>
          <w:rFonts w:ascii="Palatino Linotype" w:hAnsi="Palatino Linotype"/>
          <w:sz w:val="16"/>
          <w:szCs w:val="16"/>
        </w:rPr>
        <w:t xml:space="preserve"> En su versión virtual, específicamente en el link </w:t>
      </w:r>
      <w:hyperlink r:id="rId1" w:history="1">
        <w:r w:rsidRPr="005A78E7">
          <w:rPr>
            <w:rStyle w:val="Hipervnculo"/>
            <w:rFonts w:ascii="Palatino Linotype" w:hAnsi="Palatino Linotype"/>
            <w:sz w:val="16"/>
            <w:szCs w:val="16"/>
          </w:rPr>
          <w:t>http://dle.rae.es/?id=D78E0XT</w:t>
        </w:r>
      </w:hyperlink>
      <w:r w:rsidRPr="005A78E7">
        <w:rPr>
          <w:rFonts w:ascii="Palatino Linotype" w:hAnsi="Palatino Linotype"/>
          <w:sz w:val="16"/>
          <w:szCs w:val="16"/>
        </w:rPr>
        <w:t xml:space="preserve"> </w:t>
      </w:r>
    </w:p>
  </w:footnote>
  <w:footnote w:id="2">
    <w:p w:rsidR="00D71B83" w:rsidRPr="00C36DD0" w:rsidRDefault="00D71B83" w:rsidP="00D71B83">
      <w:pPr>
        <w:pStyle w:val="Textonotapie"/>
        <w:rPr>
          <w:rFonts w:ascii="Palatino Linotype" w:hAnsi="Palatino Linotype"/>
          <w:sz w:val="16"/>
          <w:szCs w:val="16"/>
          <w:lang w:val="es-ES"/>
        </w:rPr>
      </w:pPr>
      <w:r w:rsidRPr="00B37A0D">
        <w:rPr>
          <w:rStyle w:val="Refdenotaalpie"/>
          <w:rFonts w:ascii="Palatino Linotype" w:hAnsi="Palatino Linotype"/>
          <w:sz w:val="16"/>
          <w:szCs w:val="16"/>
        </w:rPr>
        <w:footnoteRef/>
      </w:r>
      <w:r w:rsidRPr="00B37A0D">
        <w:rPr>
          <w:rFonts w:ascii="Palatino Linotype" w:hAnsi="Palatino Linotype"/>
          <w:sz w:val="16"/>
          <w:szCs w:val="16"/>
        </w:rPr>
        <w:t xml:space="preserve"> </w:t>
      </w:r>
      <w:r>
        <w:rPr>
          <w:rFonts w:ascii="Palatino Linotype" w:hAnsi="Palatino Linotype"/>
          <w:sz w:val="16"/>
          <w:szCs w:val="16"/>
        </w:rPr>
        <w:t xml:space="preserve">Teoría General del Proceso, Editorial Oxford. 10a Edición. </w:t>
      </w:r>
      <w:r>
        <w:rPr>
          <w:rFonts w:ascii="Palatino Linotype" w:hAnsi="Palatino Linotype"/>
          <w:sz w:val="16"/>
          <w:szCs w:val="16"/>
          <w:lang w:val="es-ES"/>
        </w:rPr>
        <w:t>México 2004.</w:t>
      </w:r>
    </w:p>
  </w:footnote>
  <w:footnote w:id="3">
    <w:p w:rsidR="00D71B83" w:rsidRPr="00072DC2" w:rsidRDefault="00D71B83" w:rsidP="00D71B83">
      <w:pPr>
        <w:pStyle w:val="Textonotapie"/>
        <w:rPr>
          <w:rFonts w:ascii="Palatino Linotype" w:hAnsi="Palatino Linotype"/>
          <w:sz w:val="16"/>
          <w:szCs w:val="16"/>
        </w:rPr>
      </w:pPr>
      <w:r w:rsidRPr="00072DC2">
        <w:rPr>
          <w:rStyle w:val="Refdenotaalpie"/>
          <w:rFonts w:ascii="Palatino Linotype" w:hAnsi="Palatino Linotype"/>
          <w:sz w:val="16"/>
          <w:szCs w:val="16"/>
        </w:rPr>
        <w:footnoteRef/>
      </w:r>
      <w:r w:rsidRPr="00072DC2">
        <w:rPr>
          <w:rFonts w:ascii="Palatino Linotype" w:hAnsi="Palatino Linotype"/>
          <w:sz w:val="16"/>
          <w:szCs w:val="16"/>
        </w:rPr>
        <w:t xml:space="preserve"> García, L. Teoría General del Proceso. Red Tercer Milenio. 2012.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02E8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77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02E80">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1" type="#_x0000_t136" style="position:absolute;margin-left:0;margin-top:0;width:566.4pt;height:56.6pt;rotation:315;z-index:-25165875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A02E8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02E8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0" type="#_x0000_t136" style="position:absolute;margin-left:0;margin-top:0;width:557.4pt;height:65.55pt;rotation:315;z-index:-25165772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4B54"/>
    <w:multiLevelType w:val="hybridMultilevel"/>
    <w:tmpl w:val="4884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A211F13"/>
    <w:multiLevelType w:val="hybridMultilevel"/>
    <w:tmpl w:val="AFB67696"/>
    <w:lvl w:ilvl="0" w:tplc="C89EEC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EA308DE"/>
    <w:multiLevelType w:val="hybridMultilevel"/>
    <w:tmpl w:val="C1C6446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FC6"/>
    <w:rsid w:val="001D0944"/>
    <w:rsid w:val="0025734D"/>
    <w:rsid w:val="002A3FC6"/>
    <w:rsid w:val="002C14B8"/>
    <w:rsid w:val="002C37EA"/>
    <w:rsid w:val="003064A9"/>
    <w:rsid w:val="00592FEC"/>
    <w:rsid w:val="00A02E80"/>
    <w:rsid w:val="00B95E5B"/>
    <w:rsid w:val="00D26689"/>
    <w:rsid w:val="00D71B83"/>
    <w:rsid w:val="00E9038F"/>
    <w:rsid w:val="00F940D3"/>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A7CFF9F-6D74-43EA-B773-37FF3B87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FC6"/>
  </w:style>
  <w:style w:type="paragraph" w:styleId="Ttulo2">
    <w:name w:val="heading 2"/>
    <w:basedOn w:val="Normal"/>
    <w:next w:val="Normal"/>
    <w:link w:val="Ttulo2Car"/>
    <w:uiPriority w:val="9"/>
    <w:unhideWhenUsed/>
    <w:qFormat/>
    <w:rsid w:val="00592F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A3FC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A3FC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A3FC6"/>
    <w:rPr>
      <w:vertAlign w:val="superscript"/>
    </w:rPr>
  </w:style>
  <w:style w:type="paragraph" w:styleId="Piedepgina">
    <w:name w:val="footer"/>
    <w:basedOn w:val="Normal"/>
    <w:link w:val="PiedepginaCar"/>
    <w:uiPriority w:val="99"/>
    <w:unhideWhenUsed/>
    <w:rsid w:val="002A3F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3FC6"/>
  </w:style>
  <w:style w:type="paragraph" w:styleId="Encabezado">
    <w:name w:val="header"/>
    <w:basedOn w:val="Normal"/>
    <w:link w:val="EncabezadoCar"/>
    <w:uiPriority w:val="99"/>
    <w:unhideWhenUsed/>
    <w:rsid w:val="002A3F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3FC6"/>
  </w:style>
  <w:style w:type="paragraph" w:styleId="Prrafodelista">
    <w:name w:val="List Paragraph"/>
    <w:basedOn w:val="Normal"/>
    <w:link w:val="PrrafodelistaCar"/>
    <w:uiPriority w:val="34"/>
    <w:qFormat/>
    <w:rsid w:val="002A3FC6"/>
    <w:pPr>
      <w:ind w:left="720"/>
      <w:contextualSpacing/>
    </w:pPr>
  </w:style>
  <w:style w:type="character" w:styleId="Hipervnculo">
    <w:name w:val="Hyperlink"/>
    <w:uiPriority w:val="99"/>
    <w:unhideWhenUsed/>
    <w:rsid w:val="00D71B83"/>
    <w:rPr>
      <w:strike w:val="0"/>
      <w:dstrike w:val="0"/>
      <w:color w:val="035899"/>
      <w:u w:val="none"/>
      <w:effect w:val="none"/>
    </w:rPr>
  </w:style>
  <w:style w:type="character" w:customStyle="1" w:styleId="PrrafodelistaCar">
    <w:name w:val="Párrafo de lista Car"/>
    <w:link w:val="Prrafodelista"/>
    <w:uiPriority w:val="34"/>
    <w:qFormat/>
    <w:locked/>
    <w:rsid w:val="00D71B83"/>
  </w:style>
  <w:style w:type="paragraph" w:styleId="Textodeglobo">
    <w:name w:val="Balloon Text"/>
    <w:basedOn w:val="Normal"/>
    <w:link w:val="TextodegloboCar"/>
    <w:uiPriority w:val="99"/>
    <w:semiHidden/>
    <w:unhideWhenUsed/>
    <w:rsid w:val="00592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2FEC"/>
    <w:rPr>
      <w:rFonts w:ascii="Segoe UI" w:hAnsi="Segoe UI" w:cs="Segoe UI"/>
      <w:sz w:val="18"/>
      <w:szCs w:val="18"/>
    </w:rPr>
  </w:style>
  <w:style w:type="paragraph" w:styleId="TDC1">
    <w:name w:val="toc 1"/>
    <w:basedOn w:val="Normal"/>
    <w:next w:val="Normal"/>
    <w:autoRedefine/>
    <w:uiPriority w:val="39"/>
    <w:unhideWhenUsed/>
    <w:rsid w:val="00592FEC"/>
    <w:pPr>
      <w:spacing w:after="100"/>
    </w:pPr>
  </w:style>
  <w:style w:type="character" w:customStyle="1" w:styleId="Ttulo2Car">
    <w:name w:val="Título 2 Car"/>
    <w:basedOn w:val="Fuentedeprrafopredeter"/>
    <w:link w:val="Ttulo2"/>
    <w:uiPriority w:val="9"/>
    <w:rsid w:val="00592FEC"/>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592FE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nanzas@edomex.gob.m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le.rae.es/?id=D78E0X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1310</Words>
  <Characters>7208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3</cp:revision>
  <cp:lastPrinted>2019-02-26T00:48:00Z</cp:lastPrinted>
  <dcterms:created xsi:type="dcterms:W3CDTF">2019-02-26T23:59:00Z</dcterms:created>
  <dcterms:modified xsi:type="dcterms:W3CDTF">2019-03-29T18:07:00Z</dcterms:modified>
</cp:coreProperties>
</file>